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5E30" w14:textId="72D9718A" w:rsidR="00D15D8D" w:rsidRPr="001B336C" w:rsidRDefault="0019376E" w:rsidP="005C177E">
      <w:pPr>
        <w:spacing w:after="0"/>
        <w:jc w:val="center"/>
        <w:rPr>
          <w:rFonts w:cstheme="minorHAnsi"/>
          <w:b/>
          <w:bCs/>
          <w:sz w:val="24"/>
          <w:szCs w:val="24"/>
        </w:rPr>
      </w:pPr>
      <w:r w:rsidRPr="001B336C">
        <w:rPr>
          <w:rFonts w:cstheme="minorHAnsi"/>
          <w:b/>
          <w:bCs/>
          <w:sz w:val="24"/>
          <w:szCs w:val="24"/>
        </w:rPr>
        <w:t>Clinical Rationale for</w:t>
      </w:r>
      <w:r w:rsidR="00A37CCE" w:rsidRPr="001B336C">
        <w:rPr>
          <w:rFonts w:cstheme="minorHAnsi"/>
          <w:b/>
          <w:bCs/>
          <w:sz w:val="24"/>
          <w:szCs w:val="24"/>
        </w:rPr>
        <w:t xml:space="preserve"> SARS-C</w:t>
      </w:r>
      <w:r w:rsidR="00797BAA" w:rsidRPr="001B336C">
        <w:rPr>
          <w:rFonts w:cstheme="minorHAnsi"/>
          <w:b/>
          <w:bCs/>
          <w:sz w:val="24"/>
          <w:szCs w:val="24"/>
        </w:rPr>
        <w:t>o</w:t>
      </w:r>
      <w:r w:rsidR="00A37CCE" w:rsidRPr="001B336C">
        <w:rPr>
          <w:rFonts w:cstheme="minorHAnsi"/>
          <w:b/>
          <w:bCs/>
          <w:sz w:val="24"/>
          <w:szCs w:val="24"/>
        </w:rPr>
        <w:t>V-2</w:t>
      </w:r>
      <w:r w:rsidR="00F40321" w:rsidRPr="001B336C">
        <w:rPr>
          <w:rFonts w:cstheme="minorHAnsi"/>
          <w:b/>
          <w:bCs/>
          <w:sz w:val="24"/>
          <w:szCs w:val="24"/>
        </w:rPr>
        <w:t xml:space="preserve"> </w:t>
      </w:r>
      <w:r w:rsidRPr="001B336C">
        <w:rPr>
          <w:rFonts w:cstheme="minorHAnsi"/>
          <w:b/>
          <w:bCs/>
          <w:sz w:val="24"/>
          <w:szCs w:val="24"/>
        </w:rPr>
        <w:t>Base Spike Protein Detoxification in</w:t>
      </w:r>
      <w:r w:rsidR="00A37CCE" w:rsidRPr="001B336C">
        <w:rPr>
          <w:rFonts w:cstheme="minorHAnsi"/>
          <w:b/>
          <w:bCs/>
          <w:sz w:val="24"/>
          <w:szCs w:val="24"/>
        </w:rPr>
        <w:t xml:space="preserve"> P</w:t>
      </w:r>
      <w:r w:rsidRPr="001B336C">
        <w:rPr>
          <w:rFonts w:cstheme="minorHAnsi"/>
          <w:b/>
          <w:bCs/>
          <w:sz w:val="24"/>
          <w:szCs w:val="24"/>
        </w:rPr>
        <w:t>ost</w:t>
      </w:r>
      <w:r w:rsidR="00A37CCE" w:rsidRPr="001B336C">
        <w:rPr>
          <w:rFonts w:cstheme="minorHAnsi"/>
          <w:b/>
          <w:bCs/>
          <w:sz w:val="24"/>
          <w:szCs w:val="24"/>
        </w:rPr>
        <w:t xml:space="preserve"> COVID-19 </w:t>
      </w:r>
      <w:r w:rsidRPr="001B336C">
        <w:rPr>
          <w:rFonts w:cstheme="minorHAnsi"/>
          <w:b/>
          <w:bCs/>
          <w:sz w:val="24"/>
          <w:szCs w:val="24"/>
        </w:rPr>
        <w:t>and</w:t>
      </w:r>
      <w:r w:rsidR="00A37CCE" w:rsidRPr="001B336C">
        <w:rPr>
          <w:rFonts w:cstheme="minorHAnsi"/>
          <w:b/>
          <w:bCs/>
          <w:sz w:val="24"/>
          <w:szCs w:val="24"/>
        </w:rPr>
        <w:t xml:space="preserve"> V</w:t>
      </w:r>
      <w:r w:rsidRPr="001B336C">
        <w:rPr>
          <w:rFonts w:cstheme="minorHAnsi"/>
          <w:b/>
          <w:bCs/>
          <w:sz w:val="24"/>
          <w:szCs w:val="24"/>
        </w:rPr>
        <w:t>accine Injury Syndromes</w:t>
      </w:r>
    </w:p>
    <w:p w14:paraId="04F49358" w14:textId="77777777" w:rsidR="00A37CCE" w:rsidRPr="001B336C" w:rsidRDefault="00A37CCE" w:rsidP="003E2D4F">
      <w:pPr>
        <w:spacing w:after="0"/>
        <w:jc w:val="both"/>
        <w:rPr>
          <w:rFonts w:cstheme="minorHAnsi"/>
          <w:sz w:val="24"/>
          <w:szCs w:val="24"/>
        </w:rPr>
      </w:pPr>
    </w:p>
    <w:p w14:paraId="4A137391" w14:textId="107A7413" w:rsidR="00A37CCE" w:rsidRDefault="00A37CCE" w:rsidP="005C177E">
      <w:pPr>
        <w:spacing w:after="0"/>
        <w:jc w:val="center"/>
        <w:rPr>
          <w:rFonts w:cstheme="minorHAnsi"/>
          <w:b/>
          <w:bCs/>
          <w:sz w:val="24"/>
          <w:szCs w:val="24"/>
        </w:rPr>
      </w:pPr>
      <w:r w:rsidRPr="001B336C">
        <w:rPr>
          <w:rFonts w:cstheme="minorHAnsi"/>
          <w:b/>
          <w:bCs/>
          <w:sz w:val="24"/>
          <w:szCs w:val="24"/>
        </w:rPr>
        <w:t>Peter A. McCullough, M</w:t>
      </w:r>
      <w:r w:rsidR="004A6BD8" w:rsidRPr="001B336C">
        <w:rPr>
          <w:rFonts w:cstheme="minorHAnsi"/>
          <w:b/>
          <w:bCs/>
          <w:sz w:val="24"/>
          <w:szCs w:val="24"/>
        </w:rPr>
        <w:t>.</w:t>
      </w:r>
      <w:r w:rsidRPr="001B336C">
        <w:rPr>
          <w:rFonts w:cstheme="minorHAnsi"/>
          <w:b/>
          <w:bCs/>
          <w:sz w:val="24"/>
          <w:szCs w:val="24"/>
        </w:rPr>
        <w:t>D</w:t>
      </w:r>
      <w:r w:rsidR="004A6BD8" w:rsidRPr="001B336C">
        <w:rPr>
          <w:rFonts w:cstheme="minorHAnsi"/>
          <w:b/>
          <w:bCs/>
          <w:sz w:val="24"/>
          <w:szCs w:val="24"/>
        </w:rPr>
        <w:t>.</w:t>
      </w:r>
      <w:r w:rsidRPr="001B336C">
        <w:rPr>
          <w:rFonts w:cstheme="minorHAnsi"/>
          <w:b/>
          <w:bCs/>
          <w:sz w:val="24"/>
          <w:szCs w:val="24"/>
        </w:rPr>
        <w:t>, M</w:t>
      </w:r>
      <w:r w:rsidR="004A6BD8" w:rsidRPr="001B336C">
        <w:rPr>
          <w:rFonts w:cstheme="minorHAnsi"/>
          <w:b/>
          <w:bCs/>
          <w:sz w:val="24"/>
          <w:szCs w:val="24"/>
        </w:rPr>
        <w:t>.</w:t>
      </w:r>
      <w:r w:rsidRPr="001B336C">
        <w:rPr>
          <w:rFonts w:cstheme="minorHAnsi"/>
          <w:b/>
          <w:bCs/>
          <w:sz w:val="24"/>
          <w:szCs w:val="24"/>
        </w:rPr>
        <w:t>P</w:t>
      </w:r>
      <w:r w:rsidR="004A6BD8" w:rsidRPr="001B336C">
        <w:rPr>
          <w:rFonts w:cstheme="minorHAnsi"/>
          <w:b/>
          <w:bCs/>
          <w:sz w:val="24"/>
          <w:szCs w:val="24"/>
        </w:rPr>
        <w:t>.</w:t>
      </w:r>
      <w:r w:rsidRPr="001B336C">
        <w:rPr>
          <w:rFonts w:cstheme="minorHAnsi"/>
          <w:b/>
          <w:bCs/>
          <w:sz w:val="24"/>
          <w:szCs w:val="24"/>
        </w:rPr>
        <w:t>H</w:t>
      </w:r>
      <w:r w:rsidR="004A6BD8" w:rsidRPr="001B336C">
        <w:rPr>
          <w:rFonts w:cstheme="minorHAnsi"/>
          <w:b/>
          <w:bCs/>
          <w:sz w:val="24"/>
          <w:szCs w:val="24"/>
        </w:rPr>
        <w:t>.</w:t>
      </w:r>
      <w:r w:rsidR="005C177E" w:rsidRPr="001B336C">
        <w:rPr>
          <w:rFonts w:cstheme="minorHAnsi"/>
          <w:b/>
          <w:bCs/>
          <w:sz w:val="24"/>
          <w:szCs w:val="24"/>
        </w:rPr>
        <w:t xml:space="preserve">, </w:t>
      </w:r>
      <w:r w:rsidR="00A34E67" w:rsidRPr="001B336C">
        <w:rPr>
          <w:rFonts w:cstheme="minorHAnsi"/>
          <w:b/>
          <w:bCs/>
          <w:sz w:val="24"/>
          <w:szCs w:val="24"/>
        </w:rPr>
        <w:t>Cade Wynn</w:t>
      </w:r>
      <w:r w:rsidR="005C177E" w:rsidRPr="001B336C">
        <w:rPr>
          <w:rFonts w:cstheme="minorHAnsi"/>
          <w:b/>
          <w:bCs/>
          <w:sz w:val="24"/>
          <w:szCs w:val="24"/>
        </w:rPr>
        <w:t xml:space="preserve">, </w:t>
      </w:r>
      <w:r w:rsidR="00A34E67" w:rsidRPr="001B336C">
        <w:rPr>
          <w:rFonts w:cstheme="minorHAnsi"/>
          <w:b/>
          <w:bCs/>
          <w:sz w:val="24"/>
          <w:szCs w:val="24"/>
        </w:rPr>
        <w:t>Brian C. Procter, M</w:t>
      </w:r>
      <w:r w:rsidR="004A6BD8" w:rsidRPr="001B336C">
        <w:rPr>
          <w:rFonts w:cstheme="minorHAnsi"/>
          <w:b/>
          <w:bCs/>
          <w:sz w:val="24"/>
          <w:szCs w:val="24"/>
        </w:rPr>
        <w:t>.</w:t>
      </w:r>
      <w:r w:rsidR="00A34E67" w:rsidRPr="001B336C">
        <w:rPr>
          <w:rFonts w:cstheme="minorHAnsi"/>
          <w:b/>
          <w:bCs/>
          <w:sz w:val="24"/>
          <w:szCs w:val="24"/>
        </w:rPr>
        <w:t>D</w:t>
      </w:r>
      <w:r w:rsidR="004A6BD8" w:rsidRPr="001B336C">
        <w:rPr>
          <w:rFonts w:cstheme="minorHAnsi"/>
          <w:b/>
          <w:bCs/>
          <w:sz w:val="24"/>
          <w:szCs w:val="24"/>
        </w:rPr>
        <w:t>.</w:t>
      </w:r>
    </w:p>
    <w:p w14:paraId="5D3B7AF2" w14:textId="77777777" w:rsidR="00E001B7" w:rsidRDefault="00E001B7" w:rsidP="005C177E">
      <w:pPr>
        <w:spacing w:after="0"/>
        <w:jc w:val="center"/>
        <w:rPr>
          <w:rFonts w:cstheme="minorHAnsi"/>
          <w:b/>
          <w:bCs/>
          <w:sz w:val="24"/>
          <w:szCs w:val="24"/>
        </w:rPr>
      </w:pPr>
    </w:p>
    <w:p w14:paraId="69C368E5" w14:textId="77777777" w:rsidR="00E001B7" w:rsidRDefault="00E001B7" w:rsidP="00E001B7">
      <w:pPr>
        <w:spacing w:after="0"/>
        <w:rPr>
          <w:rFonts w:cstheme="minorHAnsi"/>
          <w:b/>
          <w:bCs/>
          <w:sz w:val="24"/>
          <w:szCs w:val="24"/>
        </w:rPr>
      </w:pPr>
    </w:p>
    <w:p w14:paraId="2FF251FD" w14:textId="063FFDC5" w:rsidR="00E001B7" w:rsidRPr="00E001B7" w:rsidRDefault="00E001B7" w:rsidP="00E001B7">
      <w:pPr>
        <w:rPr>
          <w:b/>
          <w:bCs/>
        </w:rPr>
      </w:pPr>
      <w:r w:rsidRPr="00E001B7">
        <w:rPr>
          <w:b/>
          <w:bCs/>
        </w:rPr>
        <w:t>Abstract</w:t>
      </w:r>
    </w:p>
    <w:p w14:paraId="662917F9" w14:textId="6ACE5C25" w:rsidR="00E001B7" w:rsidRDefault="00E001B7" w:rsidP="00E001B7">
      <w:r>
        <w:t xml:space="preserve">The spike protein is responsible for the pathogenicity of the SARS-CoV-2 infection and drives the development of adverse events, injuries, disabilities, and death after vaccination through immunologic and thrombotic mechanisms. The long-lasting spike protein has been found in the brain, heart, liver, kidneys, ovaries, </w:t>
      </w:r>
      <w:proofErr w:type="gramStart"/>
      <w:r>
        <w:t>testicles</w:t>
      </w:r>
      <w:proofErr w:type="gramEnd"/>
      <w:r>
        <w:t xml:space="preserve"> and other vital organs at autopsy in cases of death after vaccination.  In the case of vaccine-induced thrombotic injury, the spike protein has been found within the blood clot itself.  Thus, there is strong rationale for considering residual SARS-CoV-2 spike protein as a treatment target in post COVID-19 and vaccine injury syndromes. The spike protein participates directly in pathophysiology, incites inflammation, and propels thrombosis. While specific syndromes (cardiovascular, neurological, endocrine, thrombotic, immunological) will require additional therapies, we propose the clinical rationale for a base detoxification regimen of oral nattokinase, bromelain, and curcumin for patients with post-acute sequalae from SARS-CoV-2 infection and COVID-19 vaccination. The empiric regimen</w:t>
      </w:r>
      <w:r w:rsidR="009462B4">
        <w:t xml:space="preserve"> below</w:t>
      </w:r>
      <w:r>
        <w:t xml:space="preserve"> can be continued for 3-12 months or more and be guided by clinical parameters</w:t>
      </w:r>
      <w:r w:rsidR="009462B4">
        <w:t>:</w:t>
      </w:r>
    </w:p>
    <w:p w14:paraId="51898B84" w14:textId="77777777" w:rsidR="00E001B7" w:rsidRPr="000C096F" w:rsidRDefault="00E001B7" w:rsidP="00E001B7">
      <w:pPr>
        <w:rPr>
          <w:b/>
          <w:bCs/>
        </w:rPr>
      </w:pPr>
      <w:r w:rsidRPr="000C096F">
        <w:rPr>
          <w:b/>
          <w:bCs/>
        </w:rPr>
        <w:t>-Nattokinase 2000 FU (100) mg orally twice a day without food</w:t>
      </w:r>
    </w:p>
    <w:p w14:paraId="24BA1B8D" w14:textId="77777777" w:rsidR="00E001B7" w:rsidRPr="000C096F" w:rsidRDefault="00E001B7" w:rsidP="00E001B7">
      <w:pPr>
        <w:rPr>
          <w:b/>
          <w:bCs/>
        </w:rPr>
      </w:pPr>
      <w:r w:rsidRPr="000C096F">
        <w:rPr>
          <w:b/>
          <w:bCs/>
        </w:rPr>
        <w:t>-Bromelain 500 mg orally once a day without food</w:t>
      </w:r>
    </w:p>
    <w:p w14:paraId="12BFA679" w14:textId="77777777" w:rsidR="00E001B7" w:rsidRPr="000C096F" w:rsidRDefault="00E001B7" w:rsidP="00E001B7">
      <w:pPr>
        <w:rPr>
          <w:b/>
          <w:bCs/>
        </w:rPr>
      </w:pPr>
      <w:r w:rsidRPr="000C096F">
        <w:rPr>
          <w:b/>
          <w:bCs/>
        </w:rPr>
        <w:t xml:space="preserve">-Curcumin 500 mg orally twice a day (nano, liposomal, or with </w:t>
      </w:r>
      <w:proofErr w:type="spellStart"/>
      <w:r w:rsidRPr="000C096F">
        <w:rPr>
          <w:b/>
          <w:bCs/>
        </w:rPr>
        <w:t>piperine</w:t>
      </w:r>
      <w:proofErr w:type="spellEnd"/>
      <w:r w:rsidRPr="000C096F">
        <w:rPr>
          <w:b/>
          <w:bCs/>
        </w:rPr>
        <w:t xml:space="preserve"> additive suggested)</w:t>
      </w:r>
    </w:p>
    <w:p w14:paraId="1BE18960" w14:textId="77777777" w:rsidR="00E001B7" w:rsidRDefault="00E001B7" w:rsidP="00E001B7">
      <w:r>
        <w:t>No therapeutic claims can be made for this regimen because it has not been tested in large, prospective, double-blind, placebo controlled randomized trials.  No such studies are planned or funded currently by federal or institutional sponsors.  The main caveats are bleeding and allergic reactions.  The regimen can be used in addition to antiplatelet and antithrombic agents, however, caution is advised with respect to monitoring bleeding risks.</w:t>
      </w:r>
    </w:p>
    <w:p w14:paraId="64484EBD" w14:textId="77777777" w:rsidR="00E001B7" w:rsidRPr="001B336C" w:rsidRDefault="00E001B7" w:rsidP="00E001B7">
      <w:pPr>
        <w:spacing w:after="0"/>
        <w:rPr>
          <w:rFonts w:cstheme="minorHAnsi"/>
          <w:b/>
          <w:bCs/>
          <w:sz w:val="24"/>
          <w:szCs w:val="24"/>
        </w:rPr>
      </w:pPr>
    </w:p>
    <w:p w14:paraId="6C4621AF" w14:textId="77777777" w:rsidR="004A6BD8" w:rsidRPr="001B336C" w:rsidRDefault="004A6BD8" w:rsidP="003E2D4F">
      <w:pPr>
        <w:spacing w:after="0"/>
        <w:jc w:val="both"/>
        <w:rPr>
          <w:rFonts w:cstheme="minorHAnsi"/>
          <w:sz w:val="24"/>
          <w:szCs w:val="24"/>
        </w:rPr>
      </w:pPr>
    </w:p>
    <w:p w14:paraId="37EA2CAF" w14:textId="2A964D08" w:rsidR="000C7B02" w:rsidRPr="001B336C" w:rsidRDefault="000C7B02" w:rsidP="003E2D4F">
      <w:pPr>
        <w:spacing w:after="0"/>
        <w:rPr>
          <w:rFonts w:cstheme="minorHAnsi"/>
          <w:b/>
          <w:bCs/>
          <w:sz w:val="24"/>
          <w:szCs w:val="24"/>
        </w:rPr>
      </w:pPr>
      <w:r w:rsidRPr="001B336C">
        <w:rPr>
          <w:rFonts w:cstheme="minorHAnsi"/>
          <w:b/>
          <w:bCs/>
          <w:sz w:val="24"/>
          <w:szCs w:val="24"/>
        </w:rPr>
        <w:t>SARS-CoV-2 Spike Protein as a Therapeutic Target</w:t>
      </w:r>
    </w:p>
    <w:p w14:paraId="77BFBEAB" w14:textId="77777777" w:rsidR="003E2D4F" w:rsidRPr="001B336C" w:rsidRDefault="003E2D4F" w:rsidP="003E2D4F">
      <w:pPr>
        <w:spacing w:after="0"/>
        <w:rPr>
          <w:rFonts w:cstheme="minorHAnsi"/>
          <w:sz w:val="24"/>
          <w:szCs w:val="24"/>
        </w:rPr>
      </w:pPr>
    </w:p>
    <w:p w14:paraId="72A058B9" w14:textId="1905352C" w:rsidR="00A37CCE" w:rsidRPr="001B336C" w:rsidRDefault="00A37CCE" w:rsidP="003E2D4F">
      <w:pPr>
        <w:spacing w:after="0"/>
        <w:ind w:firstLine="720"/>
        <w:rPr>
          <w:rFonts w:cstheme="minorHAnsi"/>
          <w:sz w:val="24"/>
          <w:szCs w:val="24"/>
        </w:rPr>
      </w:pPr>
      <w:r w:rsidRPr="001B336C">
        <w:rPr>
          <w:rFonts w:cstheme="minorHAnsi"/>
          <w:sz w:val="24"/>
          <w:szCs w:val="24"/>
        </w:rPr>
        <w:t>The majority of the global population has contracted COVID-19 and</w:t>
      </w:r>
      <w:r w:rsidR="003E6BA6" w:rsidRPr="001B336C">
        <w:rPr>
          <w:rFonts w:cstheme="minorHAnsi"/>
          <w:sz w:val="24"/>
          <w:szCs w:val="24"/>
        </w:rPr>
        <w:t>/</w:t>
      </w:r>
      <w:r w:rsidRPr="001B336C">
        <w:rPr>
          <w:rFonts w:cstheme="minorHAnsi"/>
          <w:sz w:val="24"/>
          <w:szCs w:val="24"/>
        </w:rPr>
        <w:t xml:space="preserve">or taken one of </w:t>
      </w:r>
      <w:r w:rsidR="0019376E" w:rsidRPr="001B336C">
        <w:rPr>
          <w:rFonts w:cstheme="minorHAnsi"/>
          <w:sz w:val="24"/>
          <w:szCs w:val="24"/>
        </w:rPr>
        <w:t xml:space="preserve">the </w:t>
      </w:r>
      <w:r w:rsidRPr="001B336C">
        <w:rPr>
          <w:rFonts w:cstheme="minorHAnsi"/>
          <w:sz w:val="24"/>
          <w:szCs w:val="24"/>
        </w:rPr>
        <w:t>many COVID-19 vaccines.</w:t>
      </w:r>
      <w:r w:rsidR="00742BAB" w:rsidRPr="001B336C">
        <w:rPr>
          <w:rFonts w:cstheme="minorHAnsi"/>
          <w:sz w:val="24"/>
          <w:szCs w:val="24"/>
        </w:rPr>
        <w:t xml:space="preserve"> </w:t>
      </w:r>
      <w:r w:rsidRPr="001B336C">
        <w:rPr>
          <w:rFonts w:cstheme="minorHAnsi"/>
          <w:sz w:val="24"/>
          <w:szCs w:val="24"/>
        </w:rPr>
        <w:t xml:space="preserve">As a result, the injurious SARS-CoV-2 </w:t>
      </w:r>
      <w:r w:rsidR="0019376E" w:rsidRPr="001B336C">
        <w:rPr>
          <w:rFonts w:cstheme="minorHAnsi"/>
          <w:sz w:val="24"/>
          <w:szCs w:val="24"/>
        </w:rPr>
        <w:t>s</w:t>
      </w:r>
      <w:r w:rsidRPr="001B336C">
        <w:rPr>
          <w:rFonts w:cstheme="minorHAnsi"/>
          <w:sz w:val="24"/>
          <w:szCs w:val="24"/>
        </w:rPr>
        <w:t xml:space="preserve">pike protein has been an antigenic exposure to </w:t>
      </w:r>
      <w:r w:rsidR="00742BAB" w:rsidRPr="001B336C">
        <w:rPr>
          <w:rFonts w:cstheme="minorHAnsi"/>
          <w:sz w:val="24"/>
          <w:szCs w:val="24"/>
        </w:rPr>
        <w:t>most</w:t>
      </w:r>
      <w:r w:rsidRPr="001B336C">
        <w:rPr>
          <w:rFonts w:cstheme="minorHAnsi"/>
          <w:sz w:val="24"/>
          <w:szCs w:val="24"/>
        </w:rPr>
        <w:t xml:space="preserve"> in the world.</w:t>
      </w:r>
      <w:r w:rsidR="00742BAB" w:rsidRPr="001B336C">
        <w:rPr>
          <w:rFonts w:cstheme="minorHAnsi"/>
          <w:sz w:val="24"/>
          <w:szCs w:val="24"/>
        </w:rPr>
        <w:t xml:space="preserve"> </w:t>
      </w:r>
      <w:r w:rsidRPr="001B336C">
        <w:rPr>
          <w:rFonts w:cstheme="minorHAnsi"/>
          <w:sz w:val="24"/>
          <w:szCs w:val="24"/>
        </w:rPr>
        <w:t>Provided the infection was treated early and limited to the nasopharynx without invasive disease, the infection was self-limited without sequelae.</w:t>
      </w:r>
      <w:r w:rsidR="00742BAB" w:rsidRPr="001B336C">
        <w:rPr>
          <w:rFonts w:cstheme="minorHAnsi"/>
          <w:sz w:val="24"/>
          <w:szCs w:val="24"/>
        </w:rPr>
        <w:t xml:space="preserve"> </w:t>
      </w:r>
      <w:r w:rsidR="002F0E08" w:rsidRPr="001B336C">
        <w:rPr>
          <w:rFonts w:cstheme="minorHAnsi"/>
          <w:sz w:val="24"/>
          <w:szCs w:val="24"/>
        </w:rPr>
        <w:t>Mucosal immunity with IgA, T-cells, B-cells, and natural killer cells handles the coronavirus and defends the body against systemic illness.</w:t>
      </w:r>
      <w:r w:rsidR="00583A87" w:rsidRPr="001B336C">
        <w:rPr>
          <w:rStyle w:val="EndnoteReference"/>
          <w:rFonts w:cstheme="minorHAnsi"/>
          <w:sz w:val="24"/>
          <w:szCs w:val="24"/>
        </w:rPr>
        <w:endnoteReference w:id="1"/>
      </w:r>
      <w:r w:rsidR="00742BAB" w:rsidRPr="001B336C">
        <w:rPr>
          <w:rFonts w:cstheme="minorHAnsi"/>
          <w:sz w:val="24"/>
          <w:szCs w:val="24"/>
        </w:rPr>
        <w:t xml:space="preserve"> </w:t>
      </w:r>
      <w:r w:rsidR="003E6BA6" w:rsidRPr="001B336C">
        <w:rPr>
          <w:rFonts w:cstheme="minorHAnsi"/>
          <w:sz w:val="24"/>
          <w:szCs w:val="24"/>
        </w:rPr>
        <w:t xml:space="preserve">[1] </w:t>
      </w:r>
      <w:r w:rsidR="002F0E08" w:rsidRPr="001B336C">
        <w:rPr>
          <w:rFonts w:cstheme="minorHAnsi"/>
          <w:sz w:val="24"/>
          <w:szCs w:val="24"/>
        </w:rPr>
        <w:t>However</w:t>
      </w:r>
      <w:r w:rsidR="0019376E" w:rsidRPr="001B336C">
        <w:rPr>
          <w:rFonts w:cstheme="minorHAnsi"/>
          <w:sz w:val="24"/>
          <w:szCs w:val="24"/>
        </w:rPr>
        <w:t>,</w:t>
      </w:r>
      <w:r w:rsidR="002F0E08" w:rsidRPr="001B336C">
        <w:rPr>
          <w:rFonts w:cstheme="minorHAnsi"/>
          <w:sz w:val="24"/>
          <w:szCs w:val="24"/>
        </w:rPr>
        <w:t xml:space="preserve"> in the setting of invasive disease with COVID-19 pneumonia, viremia, cytokine storm, thrombosis, and end-organ injury, there is </w:t>
      </w:r>
      <w:r w:rsidR="002F0E08" w:rsidRPr="001B336C">
        <w:rPr>
          <w:rFonts w:cstheme="minorHAnsi"/>
          <w:sz w:val="24"/>
          <w:szCs w:val="24"/>
        </w:rPr>
        <w:lastRenderedPageBreak/>
        <w:t xml:space="preserve">evidence of widespread residual replicating SARS-CoV-2 </w:t>
      </w:r>
      <w:r w:rsidR="0019376E" w:rsidRPr="001B336C">
        <w:rPr>
          <w:rFonts w:cstheme="minorHAnsi"/>
          <w:sz w:val="24"/>
          <w:szCs w:val="24"/>
        </w:rPr>
        <w:t>s</w:t>
      </w:r>
      <w:r w:rsidR="002F0E08" w:rsidRPr="001B336C">
        <w:rPr>
          <w:rFonts w:cstheme="minorHAnsi"/>
          <w:sz w:val="24"/>
          <w:szCs w:val="24"/>
        </w:rPr>
        <w:t xml:space="preserve">pike protein in tissues for months, and the S1 segment within CD16 monocytes for </w:t>
      </w:r>
      <w:r w:rsidR="0019376E" w:rsidRPr="001B336C">
        <w:rPr>
          <w:rFonts w:cstheme="minorHAnsi"/>
          <w:sz w:val="24"/>
          <w:szCs w:val="24"/>
        </w:rPr>
        <w:t>more than</w:t>
      </w:r>
      <w:r w:rsidR="002F0E08" w:rsidRPr="001B336C">
        <w:rPr>
          <w:rFonts w:cstheme="minorHAnsi"/>
          <w:sz w:val="24"/>
          <w:szCs w:val="24"/>
        </w:rPr>
        <w:t xml:space="preserve"> one year.</w:t>
      </w:r>
      <w:r w:rsidR="00810A38" w:rsidRPr="001B336C">
        <w:rPr>
          <w:rStyle w:val="EndnoteReference"/>
          <w:rFonts w:cstheme="minorHAnsi"/>
          <w:sz w:val="24"/>
          <w:szCs w:val="24"/>
        </w:rPr>
        <w:endnoteReference w:id="2"/>
      </w:r>
      <w:r w:rsidR="00742BAB" w:rsidRPr="001B336C">
        <w:rPr>
          <w:rFonts w:cstheme="minorHAnsi"/>
          <w:sz w:val="24"/>
          <w:szCs w:val="24"/>
        </w:rPr>
        <w:t xml:space="preserve"> </w:t>
      </w:r>
      <w:r w:rsidR="003E6BA6" w:rsidRPr="001B336C">
        <w:rPr>
          <w:rFonts w:cstheme="minorHAnsi"/>
          <w:sz w:val="24"/>
          <w:szCs w:val="24"/>
        </w:rPr>
        <w:t>[2]</w:t>
      </w:r>
    </w:p>
    <w:p w14:paraId="50B95AA5" w14:textId="047EBF26" w:rsidR="009E62F4" w:rsidRPr="001B336C" w:rsidRDefault="009E62F4" w:rsidP="003E2D4F">
      <w:pPr>
        <w:spacing w:after="0"/>
        <w:ind w:firstLine="720"/>
        <w:rPr>
          <w:rFonts w:cstheme="minorHAnsi"/>
          <w:sz w:val="24"/>
          <w:szCs w:val="24"/>
        </w:rPr>
      </w:pPr>
      <w:r w:rsidRPr="001B336C">
        <w:rPr>
          <w:rFonts w:cstheme="minorHAnsi"/>
          <w:sz w:val="24"/>
          <w:szCs w:val="24"/>
        </w:rPr>
        <w:t>Repeated administrations of COVID-19 vaccines, particularly the mRNA or adenoviral DNA products</w:t>
      </w:r>
      <w:r w:rsidR="003E6BA6" w:rsidRPr="001B336C">
        <w:rPr>
          <w:rFonts w:cstheme="minorHAnsi"/>
          <w:sz w:val="24"/>
          <w:szCs w:val="24"/>
        </w:rPr>
        <w:t>,</w:t>
      </w:r>
      <w:r w:rsidRPr="001B336C">
        <w:rPr>
          <w:rFonts w:cstheme="minorHAnsi"/>
          <w:sz w:val="24"/>
          <w:szCs w:val="24"/>
        </w:rPr>
        <w:t xml:space="preserve"> deliver the genetic code for the </w:t>
      </w:r>
      <w:r w:rsidR="000541B6" w:rsidRPr="001B336C">
        <w:rPr>
          <w:rFonts w:cstheme="minorHAnsi"/>
          <w:sz w:val="24"/>
          <w:szCs w:val="24"/>
        </w:rPr>
        <w:t>spike</w:t>
      </w:r>
      <w:r w:rsidRPr="001B336C">
        <w:rPr>
          <w:rFonts w:cstheme="minorHAnsi"/>
          <w:sz w:val="24"/>
          <w:szCs w:val="24"/>
        </w:rPr>
        <w:t xml:space="preserve"> protein</w:t>
      </w:r>
      <w:r w:rsidR="003E6BA6" w:rsidRPr="001B336C">
        <w:rPr>
          <w:rFonts w:cstheme="minorHAnsi"/>
          <w:sz w:val="24"/>
          <w:szCs w:val="24"/>
        </w:rPr>
        <w:t>,</w:t>
      </w:r>
      <w:r w:rsidRPr="001B336C">
        <w:rPr>
          <w:rFonts w:cstheme="minorHAnsi"/>
          <w:sz w:val="24"/>
          <w:szCs w:val="24"/>
        </w:rPr>
        <w:t xml:space="preserve"> which is produced by a wide array of cells in tissues</w:t>
      </w:r>
      <w:r w:rsidR="003E6BA6" w:rsidRPr="001B336C">
        <w:rPr>
          <w:rFonts w:cstheme="minorHAnsi"/>
          <w:sz w:val="24"/>
          <w:szCs w:val="24"/>
        </w:rPr>
        <w:t>,</w:t>
      </w:r>
      <w:r w:rsidRPr="001B336C">
        <w:rPr>
          <w:rFonts w:cstheme="minorHAnsi"/>
          <w:sz w:val="24"/>
          <w:szCs w:val="24"/>
        </w:rPr>
        <w:t xml:space="preserve"> </w:t>
      </w:r>
      <w:r w:rsidR="00C462CA" w:rsidRPr="001B336C">
        <w:rPr>
          <w:rFonts w:cstheme="minorHAnsi"/>
          <w:sz w:val="24"/>
          <w:szCs w:val="24"/>
        </w:rPr>
        <w:t>resulting in an</w:t>
      </w:r>
      <w:r w:rsidRPr="001B336C">
        <w:rPr>
          <w:rFonts w:cstheme="minorHAnsi"/>
          <w:sz w:val="24"/>
          <w:szCs w:val="24"/>
        </w:rPr>
        <w:t xml:space="preserve"> uncontrolled duration and cumulative dose</w:t>
      </w:r>
      <w:r w:rsidR="00C1173F" w:rsidRPr="001B336C">
        <w:rPr>
          <w:rFonts w:cstheme="minorHAnsi"/>
          <w:sz w:val="24"/>
          <w:szCs w:val="24"/>
        </w:rPr>
        <w:t>s</w:t>
      </w:r>
      <w:r w:rsidRPr="001B336C">
        <w:rPr>
          <w:rFonts w:cstheme="minorHAnsi"/>
          <w:sz w:val="24"/>
          <w:szCs w:val="24"/>
        </w:rPr>
        <w:t xml:space="preserve"> of </w:t>
      </w:r>
      <w:r w:rsidR="000541B6" w:rsidRPr="001B336C">
        <w:rPr>
          <w:rFonts w:cstheme="minorHAnsi"/>
          <w:sz w:val="24"/>
          <w:szCs w:val="24"/>
        </w:rPr>
        <w:t>spike</w:t>
      </w:r>
      <w:r w:rsidRPr="001B336C">
        <w:rPr>
          <w:rFonts w:cstheme="minorHAnsi"/>
          <w:sz w:val="24"/>
          <w:szCs w:val="24"/>
        </w:rPr>
        <w:t xml:space="preserve"> protein.</w:t>
      </w:r>
      <w:r w:rsidR="00742BAB" w:rsidRPr="001B336C">
        <w:rPr>
          <w:rFonts w:cstheme="minorHAnsi"/>
          <w:sz w:val="24"/>
          <w:szCs w:val="24"/>
        </w:rPr>
        <w:t xml:space="preserve"> </w:t>
      </w:r>
      <w:r w:rsidRPr="001B336C">
        <w:rPr>
          <w:rFonts w:cstheme="minorHAnsi"/>
          <w:sz w:val="24"/>
          <w:szCs w:val="24"/>
        </w:rPr>
        <w:t xml:space="preserve">The </w:t>
      </w:r>
      <w:r w:rsidR="003E6BA6" w:rsidRPr="001B336C">
        <w:rPr>
          <w:rFonts w:cstheme="minorHAnsi"/>
          <w:sz w:val="24"/>
          <w:szCs w:val="24"/>
        </w:rPr>
        <w:t xml:space="preserve">rise in </w:t>
      </w:r>
      <w:r w:rsidRPr="001B336C">
        <w:rPr>
          <w:rFonts w:cstheme="minorHAnsi"/>
          <w:sz w:val="24"/>
          <w:szCs w:val="24"/>
        </w:rPr>
        <w:t xml:space="preserve">IgG against the </w:t>
      </w:r>
      <w:r w:rsidR="000541B6" w:rsidRPr="001B336C">
        <w:rPr>
          <w:rFonts w:cstheme="minorHAnsi"/>
          <w:sz w:val="24"/>
          <w:szCs w:val="24"/>
        </w:rPr>
        <w:t>spike</w:t>
      </w:r>
      <w:r w:rsidRPr="001B336C">
        <w:rPr>
          <w:rFonts w:cstheme="minorHAnsi"/>
          <w:sz w:val="24"/>
          <w:szCs w:val="24"/>
        </w:rPr>
        <w:t xml:space="preserve"> protein is man</w:t>
      </w:r>
      <w:r w:rsidR="003E6BA6" w:rsidRPr="001B336C">
        <w:rPr>
          <w:rFonts w:cstheme="minorHAnsi"/>
          <w:sz w:val="24"/>
          <w:szCs w:val="24"/>
        </w:rPr>
        <w:t xml:space="preserve">y </w:t>
      </w:r>
      <w:proofErr w:type="gramStart"/>
      <w:r w:rsidRPr="001B336C">
        <w:rPr>
          <w:rFonts w:cstheme="minorHAnsi"/>
          <w:sz w:val="24"/>
          <w:szCs w:val="24"/>
        </w:rPr>
        <w:t>fold</w:t>
      </w:r>
      <w:proofErr w:type="gramEnd"/>
      <w:r w:rsidRPr="001B336C">
        <w:rPr>
          <w:rFonts w:cstheme="minorHAnsi"/>
          <w:sz w:val="24"/>
          <w:szCs w:val="24"/>
        </w:rPr>
        <w:t xml:space="preserve"> greater after vaccination than </w:t>
      </w:r>
      <w:r w:rsidR="0019376E" w:rsidRPr="001B336C">
        <w:rPr>
          <w:rFonts w:cstheme="minorHAnsi"/>
          <w:sz w:val="24"/>
          <w:szCs w:val="24"/>
        </w:rPr>
        <w:t xml:space="preserve">from </w:t>
      </w:r>
      <w:r w:rsidRPr="001B336C">
        <w:rPr>
          <w:rFonts w:cstheme="minorHAnsi"/>
          <w:sz w:val="24"/>
          <w:szCs w:val="24"/>
        </w:rPr>
        <w:t>the natural infection.</w:t>
      </w:r>
      <w:r w:rsidR="00742BAB" w:rsidRPr="001B336C">
        <w:rPr>
          <w:rFonts w:cstheme="minorHAnsi"/>
          <w:sz w:val="24"/>
          <w:szCs w:val="24"/>
        </w:rPr>
        <w:t xml:space="preserve"> </w:t>
      </w:r>
      <w:r w:rsidRPr="001B336C">
        <w:rPr>
          <w:rFonts w:cstheme="minorHAnsi"/>
          <w:sz w:val="24"/>
          <w:szCs w:val="24"/>
        </w:rPr>
        <w:t xml:space="preserve">This is a proxy for considerably greater exposure to the </w:t>
      </w:r>
      <w:r w:rsidR="000541B6" w:rsidRPr="001B336C">
        <w:rPr>
          <w:rFonts w:cstheme="minorHAnsi"/>
          <w:sz w:val="24"/>
          <w:szCs w:val="24"/>
        </w:rPr>
        <w:t>spike</w:t>
      </w:r>
      <w:r w:rsidRPr="001B336C">
        <w:rPr>
          <w:rFonts w:cstheme="minorHAnsi"/>
          <w:sz w:val="24"/>
          <w:szCs w:val="24"/>
        </w:rPr>
        <w:t xml:space="preserve"> protein after immunization than</w:t>
      </w:r>
      <w:r w:rsidR="003E6BA6" w:rsidRPr="001B336C">
        <w:rPr>
          <w:rFonts w:cstheme="minorHAnsi"/>
          <w:sz w:val="24"/>
          <w:szCs w:val="24"/>
        </w:rPr>
        <w:t xml:space="preserve"> after</w:t>
      </w:r>
      <w:r w:rsidRPr="001B336C">
        <w:rPr>
          <w:rFonts w:cstheme="minorHAnsi"/>
          <w:sz w:val="24"/>
          <w:szCs w:val="24"/>
        </w:rPr>
        <w:t xml:space="preserve"> infection.</w:t>
      </w:r>
      <w:r w:rsidR="00742BAB" w:rsidRPr="001B336C">
        <w:rPr>
          <w:rFonts w:cstheme="minorHAnsi"/>
          <w:sz w:val="24"/>
          <w:szCs w:val="24"/>
        </w:rPr>
        <w:t xml:space="preserve"> </w:t>
      </w:r>
      <w:r w:rsidR="00F96342" w:rsidRPr="001B336C">
        <w:rPr>
          <w:rFonts w:cstheme="minorHAnsi"/>
          <w:sz w:val="24"/>
          <w:szCs w:val="24"/>
        </w:rPr>
        <w:t>Anti-</w:t>
      </w:r>
      <w:r w:rsidR="000541B6" w:rsidRPr="001B336C">
        <w:rPr>
          <w:rFonts w:cstheme="minorHAnsi"/>
          <w:sz w:val="24"/>
          <w:szCs w:val="24"/>
        </w:rPr>
        <w:t>spike</w:t>
      </w:r>
      <w:r w:rsidR="00F96342" w:rsidRPr="001B336C">
        <w:rPr>
          <w:rFonts w:cstheme="minorHAnsi"/>
          <w:sz w:val="24"/>
          <w:szCs w:val="24"/>
        </w:rPr>
        <w:t xml:space="preserve"> IgG levels are associated with post-COVID-19 symptoms.</w:t>
      </w:r>
      <w:r w:rsidR="00F96342" w:rsidRPr="001B336C">
        <w:rPr>
          <w:rStyle w:val="EndnoteReference"/>
          <w:rFonts w:cstheme="minorHAnsi"/>
          <w:sz w:val="24"/>
          <w:szCs w:val="24"/>
        </w:rPr>
        <w:endnoteReference w:id="3"/>
      </w:r>
      <w:r w:rsidR="00742BAB" w:rsidRPr="001B336C">
        <w:rPr>
          <w:rFonts w:cstheme="minorHAnsi"/>
          <w:sz w:val="24"/>
          <w:szCs w:val="24"/>
        </w:rPr>
        <w:t xml:space="preserve"> </w:t>
      </w:r>
      <w:r w:rsidR="003E6BA6" w:rsidRPr="001B336C">
        <w:rPr>
          <w:rFonts w:cstheme="minorHAnsi"/>
          <w:sz w:val="24"/>
          <w:szCs w:val="24"/>
        </w:rPr>
        <w:t xml:space="preserve">[3] </w:t>
      </w:r>
      <w:r w:rsidRPr="001B336C">
        <w:rPr>
          <w:rFonts w:cstheme="minorHAnsi"/>
          <w:sz w:val="24"/>
          <w:szCs w:val="24"/>
        </w:rPr>
        <w:t>Yonker et al</w:t>
      </w:r>
      <w:r w:rsidR="003E6BA6" w:rsidRPr="001B336C">
        <w:rPr>
          <w:rFonts w:cstheme="minorHAnsi"/>
          <w:sz w:val="24"/>
          <w:szCs w:val="24"/>
        </w:rPr>
        <w:t>.</w:t>
      </w:r>
      <w:r w:rsidRPr="001B336C">
        <w:rPr>
          <w:rFonts w:cstheme="minorHAnsi"/>
          <w:sz w:val="24"/>
          <w:szCs w:val="24"/>
        </w:rPr>
        <w:t xml:space="preserve"> have recently shown that some individuals do not develop neutralizing antibodies against the </w:t>
      </w:r>
      <w:r w:rsidR="000541B6" w:rsidRPr="001B336C">
        <w:rPr>
          <w:rFonts w:cstheme="minorHAnsi"/>
          <w:sz w:val="24"/>
          <w:szCs w:val="24"/>
        </w:rPr>
        <w:t>spike</w:t>
      </w:r>
      <w:r w:rsidRPr="001B336C">
        <w:rPr>
          <w:rFonts w:cstheme="minorHAnsi"/>
          <w:sz w:val="24"/>
          <w:szCs w:val="24"/>
        </w:rPr>
        <w:t xml:space="preserve"> protein, and as a result develop organ injury, particularly myocarditis in children and young adults.</w:t>
      </w:r>
      <w:r w:rsidR="00A432D8" w:rsidRPr="001B336C">
        <w:rPr>
          <w:rStyle w:val="EndnoteReference"/>
          <w:rFonts w:cstheme="minorHAnsi"/>
          <w:sz w:val="24"/>
          <w:szCs w:val="24"/>
        </w:rPr>
        <w:endnoteReference w:id="4"/>
      </w:r>
      <w:r w:rsidR="00742BAB" w:rsidRPr="001B336C">
        <w:rPr>
          <w:rFonts w:cstheme="minorHAnsi"/>
          <w:sz w:val="24"/>
          <w:szCs w:val="24"/>
        </w:rPr>
        <w:t xml:space="preserve"> </w:t>
      </w:r>
      <w:r w:rsidR="003E6BA6" w:rsidRPr="001B336C">
        <w:rPr>
          <w:rFonts w:cstheme="minorHAnsi"/>
          <w:sz w:val="24"/>
          <w:szCs w:val="24"/>
        </w:rPr>
        <w:t xml:space="preserve">[4] </w:t>
      </w:r>
      <w:r w:rsidR="004D6559" w:rsidRPr="001B336C">
        <w:rPr>
          <w:rFonts w:cstheme="minorHAnsi"/>
          <w:sz w:val="24"/>
          <w:szCs w:val="24"/>
        </w:rPr>
        <w:t xml:space="preserve">Free </w:t>
      </w:r>
      <w:r w:rsidR="003E0460" w:rsidRPr="001B336C">
        <w:rPr>
          <w:rFonts w:cstheme="minorHAnsi"/>
          <w:sz w:val="24"/>
          <w:szCs w:val="24"/>
        </w:rPr>
        <w:t xml:space="preserve">circulating soluble and extracellular vesicle-linked </w:t>
      </w:r>
      <w:r w:rsidR="000541B6" w:rsidRPr="001B336C">
        <w:rPr>
          <w:rFonts w:cstheme="minorHAnsi"/>
          <w:sz w:val="24"/>
          <w:szCs w:val="24"/>
        </w:rPr>
        <w:t>spike</w:t>
      </w:r>
      <w:r w:rsidR="003E0460" w:rsidRPr="001B336C">
        <w:rPr>
          <w:rFonts w:cstheme="minorHAnsi"/>
          <w:sz w:val="24"/>
          <w:szCs w:val="24"/>
        </w:rPr>
        <w:t xml:space="preserve"> protein is associated with persistent symptoms.</w:t>
      </w:r>
      <w:r w:rsidR="00293D4D" w:rsidRPr="001B336C">
        <w:rPr>
          <w:rStyle w:val="EndnoteReference"/>
          <w:rFonts w:cstheme="minorHAnsi"/>
          <w:sz w:val="24"/>
          <w:szCs w:val="24"/>
        </w:rPr>
        <w:endnoteReference w:id="5"/>
      </w:r>
      <w:r w:rsidR="003E6BA6" w:rsidRPr="001B336C">
        <w:rPr>
          <w:rFonts w:cstheme="minorHAnsi"/>
          <w:sz w:val="24"/>
          <w:szCs w:val="24"/>
        </w:rPr>
        <w:t xml:space="preserve"> [5]</w:t>
      </w:r>
    </w:p>
    <w:p w14:paraId="71D8FA43" w14:textId="15628BDB" w:rsidR="00A432D8" w:rsidRPr="001B336C" w:rsidRDefault="00A432D8" w:rsidP="003E2D4F">
      <w:pPr>
        <w:spacing w:after="0"/>
        <w:ind w:firstLine="720"/>
        <w:rPr>
          <w:rFonts w:cstheme="minorHAnsi"/>
          <w:sz w:val="24"/>
          <w:szCs w:val="24"/>
        </w:rPr>
      </w:pPr>
      <w:r w:rsidRPr="001B336C">
        <w:rPr>
          <w:rFonts w:cstheme="minorHAnsi"/>
          <w:sz w:val="24"/>
          <w:szCs w:val="24"/>
        </w:rPr>
        <w:t xml:space="preserve">The </w:t>
      </w:r>
      <w:r w:rsidR="000541B6" w:rsidRPr="001B336C">
        <w:rPr>
          <w:rFonts w:cstheme="minorHAnsi"/>
          <w:sz w:val="24"/>
          <w:szCs w:val="24"/>
        </w:rPr>
        <w:t>spike</w:t>
      </w:r>
      <w:r w:rsidRPr="001B336C">
        <w:rPr>
          <w:rFonts w:cstheme="minorHAnsi"/>
          <w:sz w:val="24"/>
          <w:szCs w:val="24"/>
        </w:rPr>
        <w:t xml:space="preserve"> protein </w:t>
      </w:r>
      <w:r w:rsidR="007D38BC" w:rsidRPr="001B336C">
        <w:rPr>
          <w:rFonts w:cstheme="minorHAnsi"/>
          <w:sz w:val="24"/>
          <w:szCs w:val="24"/>
        </w:rPr>
        <w:t xml:space="preserve">is responsible for </w:t>
      </w:r>
      <w:r w:rsidRPr="001B336C">
        <w:rPr>
          <w:rFonts w:cstheme="minorHAnsi"/>
          <w:sz w:val="24"/>
          <w:szCs w:val="24"/>
        </w:rPr>
        <w:t>the pathogenicity of the SARS-CoV-2 infection and drives the development of adverse events, injuries, disabilities, and death after vaccination</w:t>
      </w:r>
      <w:r w:rsidR="00B647A9" w:rsidRPr="001B336C">
        <w:rPr>
          <w:rFonts w:cstheme="minorHAnsi"/>
          <w:sz w:val="24"/>
          <w:szCs w:val="24"/>
        </w:rPr>
        <w:t xml:space="preserve"> through immunologic and thrombotic mechanisms</w:t>
      </w:r>
      <w:r w:rsidRPr="001B336C">
        <w:rPr>
          <w:rFonts w:cstheme="minorHAnsi"/>
          <w:sz w:val="24"/>
          <w:szCs w:val="24"/>
        </w:rPr>
        <w:t>.</w:t>
      </w:r>
      <w:r w:rsidR="00742BAB" w:rsidRPr="001B336C">
        <w:rPr>
          <w:rFonts w:cstheme="minorHAnsi"/>
          <w:sz w:val="24"/>
          <w:szCs w:val="24"/>
        </w:rPr>
        <w:t xml:space="preserve"> </w:t>
      </w:r>
      <w:r w:rsidRPr="001B336C">
        <w:rPr>
          <w:rFonts w:cstheme="minorHAnsi"/>
          <w:sz w:val="24"/>
          <w:szCs w:val="24"/>
        </w:rPr>
        <w:t xml:space="preserve">The </w:t>
      </w:r>
      <w:r w:rsidR="000541B6" w:rsidRPr="001B336C">
        <w:rPr>
          <w:rFonts w:cstheme="minorHAnsi"/>
          <w:sz w:val="24"/>
          <w:szCs w:val="24"/>
        </w:rPr>
        <w:t>spike</w:t>
      </w:r>
      <w:r w:rsidRPr="001B336C">
        <w:rPr>
          <w:rFonts w:cstheme="minorHAnsi"/>
          <w:sz w:val="24"/>
          <w:szCs w:val="24"/>
        </w:rPr>
        <w:t xml:space="preserve"> protein has been found in the brain, heart, liver, kidneys,</w:t>
      </w:r>
      <w:r w:rsidR="00415200" w:rsidRPr="001B336C">
        <w:rPr>
          <w:rFonts w:cstheme="minorHAnsi"/>
          <w:sz w:val="24"/>
          <w:szCs w:val="24"/>
        </w:rPr>
        <w:t xml:space="preserve"> ovaries, testicles</w:t>
      </w:r>
      <w:r w:rsidRPr="001B336C">
        <w:rPr>
          <w:rFonts w:cstheme="minorHAnsi"/>
          <w:sz w:val="24"/>
          <w:szCs w:val="24"/>
        </w:rPr>
        <w:t xml:space="preserve"> and other vital organs at autopsy in cases of death after vaccination.</w:t>
      </w:r>
      <w:r w:rsidR="00976C8D" w:rsidRPr="001B336C">
        <w:rPr>
          <w:rStyle w:val="EndnoteReference"/>
          <w:rFonts w:cstheme="minorHAnsi"/>
          <w:sz w:val="24"/>
          <w:szCs w:val="24"/>
        </w:rPr>
        <w:endnoteReference w:id="6"/>
      </w:r>
      <w:r w:rsidR="00EC398C" w:rsidRPr="001B336C">
        <w:rPr>
          <w:rFonts w:cstheme="minorHAnsi"/>
          <w:sz w:val="24"/>
          <w:szCs w:val="24"/>
        </w:rPr>
        <w:t xml:space="preserve"> </w:t>
      </w:r>
      <w:r w:rsidR="00EC398C" w:rsidRPr="001B336C">
        <w:rPr>
          <w:rStyle w:val="EndnoteReference"/>
          <w:rFonts w:cstheme="minorHAnsi"/>
          <w:sz w:val="24"/>
          <w:szCs w:val="24"/>
        </w:rPr>
        <w:endnoteReference w:id="7"/>
      </w:r>
      <w:r w:rsidR="001E3DB0" w:rsidRPr="001B336C">
        <w:rPr>
          <w:rFonts w:cstheme="minorHAnsi"/>
          <w:sz w:val="24"/>
          <w:szCs w:val="24"/>
        </w:rPr>
        <w:t xml:space="preserve"> </w:t>
      </w:r>
      <w:r w:rsidR="001E3DB0" w:rsidRPr="001B336C">
        <w:rPr>
          <w:rStyle w:val="EndnoteReference"/>
          <w:rFonts w:cstheme="minorHAnsi"/>
          <w:sz w:val="24"/>
          <w:szCs w:val="24"/>
        </w:rPr>
        <w:endnoteReference w:id="8"/>
      </w:r>
      <w:r w:rsidRPr="001B336C">
        <w:rPr>
          <w:rFonts w:cstheme="minorHAnsi"/>
          <w:sz w:val="24"/>
          <w:szCs w:val="24"/>
        </w:rPr>
        <w:t xml:space="preserve"> </w:t>
      </w:r>
      <w:r w:rsidR="00C71892" w:rsidRPr="001B336C">
        <w:rPr>
          <w:rStyle w:val="EndnoteReference"/>
          <w:rFonts w:cstheme="minorHAnsi"/>
          <w:sz w:val="24"/>
          <w:szCs w:val="24"/>
        </w:rPr>
        <w:endnoteReference w:id="9"/>
      </w:r>
      <w:r w:rsidR="00EB5420" w:rsidRPr="001B336C">
        <w:rPr>
          <w:rFonts w:cstheme="minorHAnsi"/>
          <w:sz w:val="24"/>
          <w:szCs w:val="24"/>
        </w:rPr>
        <w:t xml:space="preserve"> </w:t>
      </w:r>
      <w:r w:rsidR="007D38BC" w:rsidRPr="001B336C">
        <w:rPr>
          <w:rFonts w:cstheme="minorHAnsi"/>
          <w:sz w:val="24"/>
          <w:szCs w:val="24"/>
        </w:rPr>
        <w:t xml:space="preserve">[6-9] </w:t>
      </w:r>
      <w:r w:rsidR="00A366C7" w:rsidRPr="001B336C">
        <w:rPr>
          <w:rFonts w:cstheme="minorHAnsi"/>
          <w:sz w:val="24"/>
          <w:szCs w:val="24"/>
        </w:rPr>
        <w:t xml:space="preserve">In the case of vaccine-induced thrombotic injury, the </w:t>
      </w:r>
      <w:r w:rsidR="000541B6" w:rsidRPr="001B336C">
        <w:rPr>
          <w:rFonts w:cstheme="minorHAnsi"/>
          <w:sz w:val="24"/>
          <w:szCs w:val="24"/>
        </w:rPr>
        <w:t>spike</w:t>
      </w:r>
      <w:r w:rsidR="00A366C7" w:rsidRPr="001B336C">
        <w:rPr>
          <w:rFonts w:cstheme="minorHAnsi"/>
          <w:sz w:val="24"/>
          <w:szCs w:val="24"/>
        </w:rPr>
        <w:t xml:space="preserve"> protein has been found within the blood clot</w:t>
      </w:r>
      <w:r w:rsidR="00B647A9" w:rsidRPr="001B336C">
        <w:rPr>
          <w:rFonts w:cstheme="minorHAnsi"/>
          <w:sz w:val="24"/>
          <w:szCs w:val="24"/>
        </w:rPr>
        <w:t xml:space="preserve"> itself</w:t>
      </w:r>
      <w:r w:rsidR="00A366C7" w:rsidRPr="001B336C">
        <w:rPr>
          <w:rFonts w:cstheme="minorHAnsi"/>
          <w:sz w:val="24"/>
          <w:szCs w:val="24"/>
        </w:rPr>
        <w:t>.</w:t>
      </w:r>
      <w:r w:rsidR="00A366C7" w:rsidRPr="001B336C">
        <w:rPr>
          <w:rStyle w:val="EndnoteReference"/>
          <w:rFonts w:cstheme="minorHAnsi"/>
          <w:sz w:val="24"/>
          <w:szCs w:val="24"/>
        </w:rPr>
        <w:endnoteReference w:id="10"/>
      </w:r>
      <w:r w:rsidR="00BD151D" w:rsidRPr="001B336C">
        <w:rPr>
          <w:rFonts w:cstheme="minorHAnsi"/>
          <w:sz w:val="24"/>
          <w:szCs w:val="24"/>
        </w:rPr>
        <w:t xml:space="preserve"> </w:t>
      </w:r>
      <w:r w:rsidR="007D38BC" w:rsidRPr="001B336C">
        <w:rPr>
          <w:rFonts w:cstheme="minorHAnsi"/>
          <w:sz w:val="24"/>
          <w:szCs w:val="24"/>
        </w:rPr>
        <w:t>[10]</w:t>
      </w:r>
    </w:p>
    <w:p w14:paraId="68B4F445" w14:textId="7B28AC63" w:rsidR="008A6088" w:rsidRPr="001B336C" w:rsidRDefault="00797BAA" w:rsidP="003E2D4F">
      <w:pPr>
        <w:spacing w:after="0"/>
        <w:ind w:firstLine="720"/>
        <w:rPr>
          <w:rFonts w:cstheme="minorHAnsi"/>
          <w:sz w:val="24"/>
          <w:szCs w:val="24"/>
        </w:rPr>
      </w:pPr>
      <w:r w:rsidRPr="001B336C">
        <w:rPr>
          <w:rFonts w:cstheme="minorHAnsi"/>
          <w:sz w:val="24"/>
          <w:szCs w:val="24"/>
        </w:rPr>
        <w:t>Thus,</w:t>
      </w:r>
      <w:r w:rsidR="00293D4D" w:rsidRPr="001B336C">
        <w:rPr>
          <w:rFonts w:cstheme="minorHAnsi"/>
          <w:sz w:val="24"/>
          <w:szCs w:val="24"/>
        </w:rPr>
        <w:t xml:space="preserve"> there is strong rationale for </w:t>
      </w:r>
      <w:r w:rsidR="007D38BC" w:rsidRPr="001B336C">
        <w:rPr>
          <w:rFonts w:cstheme="minorHAnsi"/>
          <w:sz w:val="24"/>
          <w:szCs w:val="24"/>
        </w:rPr>
        <w:t xml:space="preserve">considering </w:t>
      </w:r>
      <w:r w:rsidR="00293D4D" w:rsidRPr="001B336C">
        <w:rPr>
          <w:rFonts w:cstheme="minorHAnsi"/>
          <w:sz w:val="24"/>
          <w:szCs w:val="24"/>
        </w:rPr>
        <w:t xml:space="preserve">residual SARS-CoV-2 </w:t>
      </w:r>
      <w:r w:rsidR="000541B6" w:rsidRPr="001B336C">
        <w:rPr>
          <w:rFonts w:cstheme="minorHAnsi"/>
          <w:sz w:val="24"/>
          <w:szCs w:val="24"/>
        </w:rPr>
        <w:t>spike</w:t>
      </w:r>
      <w:r w:rsidR="00293D4D" w:rsidRPr="001B336C">
        <w:rPr>
          <w:rFonts w:cstheme="minorHAnsi"/>
          <w:sz w:val="24"/>
          <w:szCs w:val="24"/>
        </w:rPr>
        <w:t xml:space="preserve"> protein as a treatment target in post COVID-19 and vaccine injury syndromes.</w:t>
      </w:r>
      <w:r w:rsidR="00742BAB" w:rsidRPr="001B336C">
        <w:rPr>
          <w:rFonts w:cstheme="minorHAnsi"/>
          <w:sz w:val="24"/>
          <w:szCs w:val="24"/>
        </w:rPr>
        <w:t xml:space="preserve"> </w:t>
      </w:r>
      <w:r w:rsidR="008A6088" w:rsidRPr="001B336C">
        <w:rPr>
          <w:rFonts w:cstheme="minorHAnsi"/>
          <w:sz w:val="24"/>
          <w:szCs w:val="24"/>
        </w:rPr>
        <w:t xml:space="preserve">The </w:t>
      </w:r>
      <w:r w:rsidR="000541B6" w:rsidRPr="001B336C">
        <w:rPr>
          <w:rFonts w:cstheme="minorHAnsi"/>
          <w:sz w:val="24"/>
          <w:szCs w:val="24"/>
        </w:rPr>
        <w:t>spike</w:t>
      </w:r>
      <w:r w:rsidR="008A6088" w:rsidRPr="001B336C">
        <w:rPr>
          <w:rFonts w:cstheme="minorHAnsi"/>
          <w:sz w:val="24"/>
          <w:szCs w:val="24"/>
        </w:rPr>
        <w:t xml:space="preserve"> protein participates directly in pathophysiology, incites inflammation, and propels thrombosis.</w:t>
      </w:r>
      <w:r w:rsidR="00742BAB" w:rsidRPr="001B336C">
        <w:rPr>
          <w:rFonts w:cstheme="minorHAnsi"/>
          <w:sz w:val="24"/>
          <w:szCs w:val="24"/>
        </w:rPr>
        <w:t xml:space="preserve"> </w:t>
      </w:r>
      <w:r w:rsidR="008A6088" w:rsidRPr="001B336C">
        <w:rPr>
          <w:rFonts w:cstheme="minorHAnsi"/>
          <w:sz w:val="24"/>
          <w:szCs w:val="24"/>
        </w:rPr>
        <w:t>Thus, overlapping coverage for these domains would be desirable in a combination approach.</w:t>
      </w:r>
      <w:r w:rsidR="00742BAB" w:rsidRPr="001B336C">
        <w:rPr>
          <w:rFonts w:cstheme="minorHAnsi"/>
          <w:sz w:val="24"/>
          <w:szCs w:val="24"/>
        </w:rPr>
        <w:t xml:space="preserve"> </w:t>
      </w:r>
      <w:r w:rsidR="008A6088" w:rsidRPr="001B336C">
        <w:rPr>
          <w:rFonts w:cstheme="minorHAnsi"/>
          <w:sz w:val="24"/>
          <w:szCs w:val="24"/>
        </w:rPr>
        <w:t xml:space="preserve">While specific syndromes (cardiovascular, neurological, endocrine, thrombotic, immunological) will require additional therapies, we will focus the remaining discussion on degrading </w:t>
      </w:r>
      <w:r w:rsidR="004A6BD8" w:rsidRPr="001B336C">
        <w:rPr>
          <w:rFonts w:cstheme="minorHAnsi"/>
          <w:sz w:val="24"/>
          <w:szCs w:val="24"/>
        </w:rPr>
        <w:t xml:space="preserve">the </w:t>
      </w:r>
      <w:r w:rsidR="000541B6" w:rsidRPr="001B336C">
        <w:rPr>
          <w:rFonts w:cstheme="minorHAnsi"/>
          <w:sz w:val="24"/>
          <w:szCs w:val="24"/>
        </w:rPr>
        <w:t>spike</w:t>
      </w:r>
      <w:r w:rsidR="008A6088" w:rsidRPr="001B336C">
        <w:rPr>
          <w:rFonts w:cstheme="minorHAnsi"/>
          <w:sz w:val="24"/>
          <w:szCs w:val="24"/>
        </w:rPr>
        <w:t xml:space="preserve"> protein and antagonizing its effects in tissues and organs.</w:t>
      </w:r>
    </w:p>
    <w:p w14:paraId="5F1AFFBB" w14:textId="77777777" w:rsidR="000C7B02" w:rsidRPr="001B336C" w:rsidRDefault="000C7B02" w:rsidP="003E2D4F">
      <w:pPr>
        <w:spacing w:after="0"/>
        <w:rPr>
          <w:rFonts w:cstheme="minorHAnsi"/>
          <w:sz w:val="24"/>
          <w:szCs w:val="24"/>
        </w:rPr>
      </w:pPr>
    </w:p>
    <w:p w14:paraId="65E333FA" w14:textId="0758E153" w:rsidR="000C7B02" w:rsidRPr="001B336C" w:rsidRDefault="000C7B02" w:rsidP="003E2D4F">
      <w:pPr>
        <w:spacing w:after="0"/>
        <w:rPr>
          <w:rFonts w:cstheme="minorHAnsi"/>
          <w:b/>
          <w:bCs/>
          <w:sz w:val="24"/>
          <w:szCs w:val="24"/>
        </w:rPr>
      </w:pPr>
      <w:r w:rsidRPr="001B336C">
        <w:rPr>
          <w:rFonts w:cstheme="minorHAnsi"/>
          <w:b/>
          <w:bCs/>
          <w:sz w:val="24"/>
          <w:szCs w:val="24"/>
        </w:rPr>
        <w:t>Proteolytic Degradation of Spike Protein</w:t>
      </w:r>
    </w:p>
    <w:p w14:paraId="22CA108F" w14:textId="77777777" w:rsidR="003E2D4F" w:rsidRPr="001B336C" w:rsidRDefault="003E2D4F" w:rsidP="003E2D4F">
      <w:pPr>
        <w:spacing w:after="0"/>
        <w:rPr>
          <w:rFonts w:cstheme="minorHAnsi"/>
          <w:b/>
          <w:bCs/>
          <w:sz w:val="24"/>
          <w:szCs w:val="24"/>
        </w:rPr>
      </w:pPr>
    </w:p>
    <w:p w14:paraId="0CEC8B92" w14:textId="779FA66F" w:rsidR="004562A5" w:rsidRPr="001B336C" w:rsidRDefault="004562A5" w:rsidP="003E2D4F">
      <w:pPr>
        <w:spacing w:after="0"/>
        <w:rPr>
          <w:rFonts w:cstheme="minorHAnsi"/>
          <w:b/>
          <w:bCs/>
          <w:sz w:val="24"/>
          <w:szCs w:val="24"/>
          <w:u w:val="single"/>
        </w:rPr>
      </w:pPr>
      <w:r w:rsidRPr="001B336C">
        <w:rPr>
          <w:rFonts w:cstheme="minorHAnsi"/>
          <w:b/>
          <w:bCs/>
          <w:sz w:val="24"/>
          <w:szCs w:val="24"/>
          <w:u w:val="single"/>
        </w:rPr>
        <w:t>Nattokinase</w:t>
      </w:r>
    </w:p>
    <w:p w14:paraId="72389CD2" w14:textId="2BA1F0FE" w:rsidR="000C7B02" w:rsidRPr="001B336C" w:rsidRDefault="000C7B02" w:rsidP="003E2D4F">
      <w:pPr>
        <w:spacing w:after="0"/>
        <w:ind w:firstLine="720"/>
        <w:rPr>
          <w:rFonts w:cstheme="minorHAnsi"/>
          <w:b/>
          <w:bCs/>
          <w:sz w:val="24"/>
          <w:szCs w:val="24"/>
        </w:rPr>
      </w:pPr>
      <w:r w:rsidRPr="001B336C">
        <w:rPr>
          <w:rFonts w:cstheme="minorHAnsi"/>
          <w:sz w:val="24"/>
          <w:szCs w:val="24"/>
        </w:rPr>
        <w:t xml:space="preserve">The </w:t>
      </w:r>
      <w:r w:rsidR="000541B6" w:rsidRPr="001B336C">
        <w:rPr>
          <w:rFonts w:cstheme="minorHAnsi"/>
          <w:sz w:val="24"/>
          <w:szCs w:val="24"/>
        </w:rPr>
        <w:t>spike</w:t>
      </w:r>
      <w:r w:rsidRPr="001B336C">
        <w:rPr>
          <w:rFonts w:cstheme="minorHAnsi"/>
          <w:sz w:val="24"/>
          <w:szCs w:val="24"/>
        </w:rPr>
        <w:t xml:space="preserve"> protein has been found free, bound by antibodies, and also encased within lysosomes or exosomes both inside and outside of cells.</w:t>
      </w:r>
      <w:r w:rsidR="00742BAB" w:rsidRPr="001B336C">
        <w:rPr>
          <w:rFonts w:cstheme="minorHAnsi"/>
          <w:sz w:val="24"/>
          <w:szCs w:val="24"/>
        </w:rPr>
        <w:t xml:space="preserve"> </w:t>
      </w:r>
      <w:r w:rsidRPr="001B336C">
        <w:rPr>
          <w:rFonts w:cstheme="minorHAnsi"/>
          <w:sz w:val="24"/>
          <w:szCs w:val="24"/>
        </w:rPr>
        <w:t xml:space="preserve">Patterson </w:t>
      </w:r>
      <w:r w:rsidR="003E6BA6" w:rsidRPr="001B336C">
        <w:rPr>
          <w:rFonts w:cstheme="minorHAnsi"/>
          <w:sz w:val="24"/>
          <w:szCs w:val="24"/>
        </w:rPr>
        <w:t xml:space="preserve">et al. </w:t>
      </w:r>
      <w:r w:rsidRPr="001B336C">
        <w:rPr>
          <w:rFonts w:cstheme="minorHAnsi"/>
          <w:sz w:val="24"/>
          <w:szCs w:val="24"/>
        </w:rPr>
        <w:t>ha</w:t>
      </w:r>
      <w:r w:rsidR="003E6BA6" w:rsidRPr="001B336C">
        <w:rPr>
          <w:rFonts w:cstheme="minorHAnsi"/>
          <w:sz w:val="24"/>
          <w:szCs w:val="24"/>
        </w:rPr>
        <w:t>ve</w:t>
      </w:r>
      <w:r w:rsidRPr="001B336C">
        <w:rPr>
          <w:rFonts w:cstheme="minorHAnsi"/>
          <w:sz w:val="24"/>
          <w:szCs w:val="24"/>
        </w:rPr>
        <w:t xml:space="preserve"> found </w:t>
      </w:r>
      <w:r w:rsidR="003E6BA6" w:rsidRPr="001B336C">
        <w:rPr>
          <w:rFonts w:cstheme="minorHAnsi"/>
          <w:sz w:val="24"/>
          <w:szCs w:val="24"/>
        </w:rPr>
        <w:t xml:space="preserve">these, </w:t>
      </w:r>
      <w:r w:rsidRPr="001B336C">
        <w:rPr>
          <w:rFonts w:cstheme="minorHAnsi"/>
          <w:sz w:val="24"/>
          <w:szCs w:val="24"/>
        </w:rPr>
        <w:t xml:space="preserve">both after infection and </w:t>
      </w:r>
      <w:r w:rsidR="003E6BA6" w:rsidRPr="001B336C">
        <w:rPr>
          <w:rFonts w:cstheme="minorHAnsi"/>
          <w:sz w:val="24"/>
          <w:szCs w:val="24"/>
        </w:rPr>
        <w:t xml:space="preserve">after </w:t>
      </w:r>
      <w:r w:rsidRPr="001B336C">
        <w:rPr>
          <w:rFonts w:cstheme="minorHAnsi"/>
          <w:sz w:val="24"/>
          <w:szCs w:val="24"/>
        </w:rPr>
        <w:t>vaccination, likely worsened by repeated exposures</w:t>
      </w:r>
      <w:r w:rsidR="0030768E" w:rsidRPr="001B336C">
        <w:rPr>
          <w:rFonts w:cstheme="minorHAnsi"/>
          <w:sz w:val="24"/>
          <w:szCs w:val="24"/>
        </w:rPr>
        <w:t xml:space="preserve"> (Figure 1)</w:t>
      </w:r>
      <w:r w:rsidR="003E6BA6" w:rsidRPr="001B336C">
        <w:rPr>
          <w:rFonts w:cstheme="minorHAnsi"/>
          <w:sz w:val="24"/>
          <w:szCs w:val="24"/>
        </w:rPr>
        <w:t>. This shows that</w:t>
      </w:r>
      <w:r w:rsidRPr="001B336C">
        <w:rPr>
          <w:rFonts w:cstheme="minorHAnsi"/>
          <w:sz w:val="24"/>
          <w:szCs w:val="24"/>
        </w:rPr>
        <w:t xml:space="preserve"> the </w:t>
      </w:r>
      <w:r w:rsidR="000541B6" w:rsidRPr="001B336C">
        <w:rPr>
          <w:rFonts w:cstheme="minorHAnsi"/>
          <w:sz w:val="24"/>
          <w:szCs w:val="24"/>
        </w:rPr>
        <w:t>spike</w:t>
      </w:r>
      <w:r w:rsidRPr="001B336C">
        <w:rPr>
          <w:rFonts w:cstheme="minorHAnsi"/>
          <w:sz w:val="24"/>
          <w:szCs w:val="24"/>
        </w:rPr>
        <w:t xml:space="preserve"> protein can persist in the human body for a very long time (months to years)</w:t>
      </w:r>
      <w:r w:rsidR="003E6BA6" w:rsidRPr="001B336C">
        <w:rPr>
          <w:rFonts w:cstheme="minorHAnsi"/>
          <w:sz w:val="24"/>
          <w:szCs w:val="24"/>
        </w:rPr>
        <w:t>,</w:t>
      </w:r>
      <w:r w:rsidRPr="001B336C">
        <w:rPr>
          <w:rFonts w:cstheme="minorHAnsi"/>
          <w:sz w:val="24"/>
          <w:szCs w:val="24"/>
        </w:rPr>
        <w:t xml:space="preserve"> probably because it is resistant to proteolytic cleavage and disposal.</w:t>
      </w:r>
      <w:r w:rsidR="001047A1" w:rsidRPr="001B336C">
        <w:rPr>
          <w:rStyle w:val="EndnoteReference"/>
          <w:rFonts w:cstheme="minorHAnsi"/>
          <w:sz w:val="24"/>
          <w:szCs w:val="24"/>
        </w:rPr>
        <w:endnoteReference w:id="11"/>
      </w:r>
      <w:r w:rsidR="003E6BA6" w:rsidRPr="001B336C">
        <w:rPr>
          <w:rFonts w:cstheme="minorHAnsi"/>
          <w:sz w:val="24"/>
          <w:szCs w:val="24"/>
        </w:rPr>
        <w:t xml:space="preserve"> [11] </w:t>
      </w:r>
    </w:p>
    <w:p w14:paraId="6231FEFF" w14:textId="626A5850" w:rsidR="000C7B02" w:rsidRPr="001B336C" w:rsidRDefault="00291B6F" w:rsidP="003E2D4F">
      <w:pPr>
        <w:spacing w:after="0"/>
        <w:ind w:firstLine="720"/>
        <w:rPr>
          <w:rFonts w:cstheme="minorHAnsi"/>
          <w:sz w:val="24"/>
          <w:szCs w:val="24"/>
        </w:rPr>
      </w:pPr>
      <w:r w:rsidRPr="001B336C">
        <w:rPr>
          <w:rFonts w:cstheme="minorHAnsi"/>
          <w:sz w:val="24"/>
          <w:szCs w:val="24"/>
        </w:rPr>
        <w:t xml:space="preserve">Proteolytic cleavage of </w:t>
      </w:r>
      <w:r w:rsidR="000541B6" w:rsidRPr="001B336C">
        <w:rPr>
          <w:rFonts w:cstheme="minorHAnsi"/>
          <w:sz w:val="24"/>
          <w:szCs w:val="24"/>
        </w:rPr>
        <w:t>spike</w:t>
      </w:r>
      <w:r w:rsidRPr="001B336C">
        <w:rPr>
          <w:rFonts w:cstheme="minorHAnsi"/>
          <w:sz w:val="24"/>
          <w:szCs w:val="24"/>
        </w:rPr>
        <w:t xml:space="preserve"> appears to be an important mechanism to initiate clearance of the protein by the reticuloendothelial system.</w:t>
      </w:r>
      <w:r w:rsidR="00742BAB" w:rsidRPr="001B336C">
        <w:rPr>
          <w:rFonts w:cstheme="minorHAnsi"/>
          <w:sz w:val="24"/>
          <w:szCs w:val="24"/>
        </w:rPr>
        <w:t xml:space="preserve"> </w:t>
      </w:r>
      <w:r w:rsidR="003C58FD" w:rsidRPr="001B336C">
        <w:rPr>
          <w:rFonts w:cstheme="minorHAnsi"/>
          <w:sz w:val="24"/>
          <w:szCs w:val="24"/>
        </w:rPr>
        <w:t xml:space="preserve">Nattokinase is a naturally occurring proteolytic enzyme with thrombolytic properties derived from the fermentation of soy beans by </w:t>
      </w:r>
      <w:r w:rsidR="00330446" w:rsidRPr="001B336C">
        <w:rPr>
          <w:rFonts w:cstheme="minorHAnsi"/>
          <w:i/>
          <w:iCs/>
          <w:sz w:val="24"/>
          <w:szCs w:val="24"/>
        </w:rPr>
        <w:t>B</w:t>
      </w:r>
      <w:r w:rsidR="003C58FD" w:rsidRPr="001B336C">
        <w:rPr>
          <w:rFonts w:cstheme="minorHAnsi"/>
          <w:i/>
          <w:iCs/>
          <w:sz w:val="24"/>
          <w:szCs w:val="24"/>
        </w:rPr>
        <w:t>acillus subtilis natto</w:t>
      </w:r>
      <w:r w:rsidR="003C58FD" w:rsidRPr="001B336C">
        <w:rPr>
          <w:rFonts w:cstheme="minorHAnsi"/>
          <w:sz w:val="24"/>
          <w:szCs w:val="24"/>
        </w:rPr>
        <w:t>.</w:t>
      </w:r>
      <w:r w:rsidR="003C58FD" w:rsidRPr="001B336C">
        <w:rPr>
          <w:rStyle w:val="EndnoteReference"/>
          <w:rFonts w:cstheme="minorHAnsi"/>
          <w:sz w:val="24"/>
          <w:szCs w:val="24"/>
        </w:rPr>
        <w:endnoteReference w:id="12"/>
      </w:r>
      <w:r w:rsidR="00742BAB" w:rsidRPr="001B336C">
        <w:rPr>
          <w:rFonts w:cstheme="minorHAnsi"/>
          <w:sz w:val="24"/>
          <w:szCs w:val="24"/>
        </w:rPr>
        <w:t xml:space="preserve"> </w:t>
      </w:r>
      <w:r w:rsidR="007D38BC" w:rsidRPr="001B336C">
        <w:rPr>
          <w:rFonts w:cstheme="minorHAnsi"/>
          <w:sz w:val="24"/>
          <w:szCs w:val="24"/>
        </w:rPr>
        <w:t xml:space="preserve">[12] </w:t>
      </w:r>
      <w:r w:rsidR="00330446" w:rsidRPr="001B336C">
        <w:rPr>
          <w:rFonts w:cstheme="minorHAnsi"/>
          <w:sz w:val="24"/>
          <w:szCs w:val="24"/>
        </w:rPr>
        <w:t>The organism is a probiotic gram-positive spore-forming bacterium</w:t>
      </w:r>
      <w:r w:rsidR="00466E16" w:rsidRPr="001B336C">
        <w:rPr>
          <w:rFonts w:cstheme="minorHAnsi"/>
          <w:sz w:val="24"/>
          <w:szCs w:val="24"/>
        </w:rPr>
        <w:t xml:space="preserve"> with </w:t>
      </w:r>
      <w:r w:rsidR="0002535C" w:rsidRPr="001B336C">
        <w:rPr>
          <w:rFonts w:cstheme="minorHAnsi"/>
          <w:sz w:val="24"/>
          <w:szCs w:val="24"/>
        </w:rPr>
        <w:t>veterinary</w:t>
      </w:r>
      <w:r w:rsidR="00466E16" w:rsidRPr="001B336C">
        <w:rPr>
          <w:rFonts w:cstheme="minorHAnsi"/>
          <w:sz w:val="24"/>
          <w:szCs w:val="24"/>
        </w:rPr>
        <w:t xml:space="preserve"> and human applications</w:t>
      </w:r>
      <w:r w:rsidR="006F5EB0" w:rsidRPr="001B336C">
        <w:rPr>
          <w:rFonts w:cstheme="minorHAnsi"/>
          <w:sz w:val="24"/>
          <w:szCs w:val="24"/>
        </w:rPr>
        <w:t>.</w:t>
      </w:r>
      <w:r w:rsidR="00466E16" w:rsidRPr="001B336C">
        <w:rPr>
          <w:rStyle w:val="EndnoteReference"/>
          <w:rFonts w:cstheme="minorHAnsi"/>
          <w:sz w:val="24"/>
          <w:szCs w:val="24"/>
        </w:rPr>
        <w:endnoteReference w:id="13"/>
      </w:r>
      <w:r w:rsidR="00742BAB" w:rsidRPr="001B336C">
        <w:rPr>
          <w:rFonts w:cstheme="minorHAnsi"/>
          <w:sz w:val="24"/>
          <w:szCs w:val="24"/>
        </w:rPr>
        <w:t xml:space="preserve"> </w:t>
      </w:r>
      <w:r w:rsidR="007D38BC" w:rsidRPr="001B336C">
        <w:rPr>
          <w:rFonts w:cstheme="minorHAnsi"/>
          <w:sz w:val="24"/>
          <w:szCs w:val="24"/>
        </w:rPr>
        <w:t xml:space="preserve">[13] </w:t>
      </w:r>
      <w:r w:rsidR="0002535C" w:rsidRPr="001B336C">
        <w:rPr>
          <w:rFonts w:cstheme="minorHAnsi"/>
          <w:sz w:val="24"/>
          <w:szCs w:val="24"/>
        </w:rPr>
        <w:t>Nattokinase has been widely used as a cardiovascular supplement in Japan for its anti-</w:t>
      </w:r>
      <w:r w:rsidR="009E76ED" w:rsidRPr="001B336C">
        <w:rPr>
          <w:rFonts w:cstheme="minorHAnsi"/>
          <w:sz w:val="24"/>
          <w:szCs w:val="24"/>
        </w:rPr>
        <w:t>atherosclerotic and antithrombotic properties.</w:t>
      </w:r>
      <w:r w:rsidR="004562A5" w:rsidRPr="001B336C">
        <w:rPr>
          <w:rStyle w:val="EndnoteReference"/>
          <w:rFonts w:cstheme="minorHAnsi"/>
          <w:sz w:val="24"/>
          <w:szCs w:val="24"/>
        </w:rPr>
        <w:endnoteReference w:id="14"/>
      </w:r>
      <w:r w:rsidR="00742BAB" w:rsidRPr="001B336C">
        <w:rPr>
          <w:rFonts w:cstheme="minorHAnsi"/>
          <w:sz w:val="24"/>
          <w:szCs w:val="24"/>
        </w:rPr>
        <w:t xml:space="preserve"> </w:t>
      </w:r>
      <w:r w:rsidR="007D38BC" w:rsidRPr="001B336C">
        <w:rPr>
          <w:rFonts w:cstheme="minorHAnsi"/>
          <w:sz w:val="24"/>
          <w:szCs w:val="24"/>
        </w:rPr>
        <w:t xml:space="preserve">[14] </w:t>
      </w:r>
      <w:r w:rsidR="009E76ED" w:rsidRPr="001B336C">
        <w:rPr>
          <w:rFonts w:cstheme="minorHAnsi"/>
          <w:sz w:val="24"/>
          <w:szCs w:val="24"/>
        </w:rPr>
        <w:t xml:space="preserve">It has undergone safety testing </w:t>
      </w:r>
      <w:r w:rsidR="007D38BC" w:rsidRPr="001B336C">
        <w:rPr>
          <w:rFonts w:cstheme="minorHAnsi"/>
          <w:sz w:val="24"/>
          <w:szCs w:val="24"/>
        </w:rPr>
        <w:t xml:space="preserve">in doses </w:t>
      </w:r>
      <w:r w:rsidR="009E76ED" w:rsidRPr="001B336C">
        <w:rPr>
          <w:rFonts w:cstheme="minorHAnsi"/>
          <w:sz w:val="24"/>
          <w:szCs w:val="24"/>
        </w:rPr>
        <w:t>up to 80,000 fibrinolytic units</w:t>
      </w:r>
      <w:r w:rsidR="006950AA" w:rsidRPr="001B336C">
        <w:rPr>
          <w:rFonts w:cstheme="minorHAnsi"/>
          <w:sz w:val="24"/>
          <w:szCs w:val="24"/>
        </w:rPr>
        <w:t xml:space="preserve"> (FU)</w:t>
      </w:r>
      <w:r w:rsidR="009E76ED" w:rsidRPr="001B336C">
        <w:rPr>
          <w:rFonts w:cstheme="minorHAnsi"/>
          <w:sz w:val="24"/>
          <w:szCs w:val="24"/>
        </w:rPr>
        <w:t xml:space="preserve"> daily.</w:t>
      </w:r>
      <w:r w:rsidR="00742BAB" w:rsidRPr="001B336C">
        <w:rPr>
          <w:rFonts w:cstheme="minorHAnsi"/>
          <w:sz w:val="24"/>
          <w:szCs w:val="24"/>
        </w:rPr>
        <w:t xml:space="preserve"> </w:t>
      </w:r>
      <w:r w:rsidR="006950AA" w:rsidRPr="001B336C">
        <w:rPr>
          <w:rFonts w:cstheme="minorHAnsi"/>
          <w:sz w:val="24"/>
          <w:szCs w:val="24"/>
        </w:rPr>
        <w:t xml:space="preserve">Kurosawa and </w:t>
      </w:r>
      <w:r w:rsidR="006950AA" w:rsidRPr="001B336C">
        <w:rPr>
          <w:rFonts w:cstheme="minorHAnsi"/>
          <w:sz w:val="24"/>
          <w:szCs w:val="24"/>
        </w:rPr>
        <w:lastRenderedPageBreak/>
        <w:t xml:space="preserve">colleagues have shown in humans that </w:t>
      </w:r>
      <w:r w:rsidR="007D38BC" w:rsidRPr="001B336C">
        <w:rPr>
          <w:rFonts w:cstheme="minorHAnsi"/>
          <w:sz w:val="24"/>
          <w:szCs w:val="24"/>
        </w:rPr>
        <w:t xml:space="preserve">D-dimer concentrations at six and eight 8 hours, and blood fibrin/fibrinogen degradation products at four hours </w:t>
      </w:r>
      <w:r w:rsidR="006950AA" w:rsidRPr="001B336C">
        <w:rPr>
          <w:rFonts w:cstheme="minorHAnsi"/>
          <w:sz w:val="24"/>
          <w:szCs w:val="24"/>
        </w:rPr>
        <w:t>after a</w:t>
      </w:r>
      <w:r w:rsidR="007D38BC" w:rsidRPr="001B336C">
        <w:rPr>
          <w:rFonts w:cstheme="minorHAnsi"/>
          <w:sz w:val="24"/>
          <w:szCs w:val="24"/>
        </w:rPr>
        <w:t>dministration of a</w:t>
      </w:r>
      <w:r w:rsidR="006950AA" w:rsidRPr="001B336C">
        <w:rPr>
          <w:rFonts w:cstheme="minorHAnsi"/>
          <w:sz w:val="24"/>
          <w:szCs w:val="24"/>
        </w:rPr>
        <w:t xml:space="preserve"> single oral dose of 2</w:t>
      </w:r>
      <w:r w:rsidR="007D38BC" w:rsidRPr="001B336C">
        <w:rPr>
          <w:rFonts w:cstheme="minorHAnsi"/>
          <w:sz w:val="24"/>
          <w:szCs w:val="24"/>
        </w:rPr>
        <w:t>,</w:t>
      </w:r>
      <w:r w:rsidR="006950AA" w:rsidRPr="001B336C">
        <w:rPr>
          <w:rFonts w:cstheme="minorHAnsi"/>
          <w:sz w:val="24"/>
          <w:szCs w:val="24"/>
        </w:rPr>
        <w:t xml:space="preserve">000 FU (100 mg) </w:t>
      </w:r>
      <w:r w:rsidR="00773089" w:rsidRPr="001B336C">
        <w:rPr>
          <w:rFonts w:cstheme="minorHAnsi"/>
          <w:sz w:val="24"/>
          <w:szCs w:val="24"/>
        </w:rPr>
        <w:t xml:space="preserve">were </w:t>
      </w:r>
      <w:r w:rsidR="006950AA" w:rsidRPr="001B336C">
        <w:rPr>
          <w:rFonts w:cstheme="minorHAnsi"/>
          <w:sz w:val="24"/>
          <w:szCs w:val="24"/>
        </w:rPr>
        <w:t>elevated significantly (</w:t>
      </w:r>
      <w:r w:rsidR="006950AA" w:rsidRPr="001B336C">
        <w:rPr>
          <w:rFonts w:cstheme="minorHAnsi"/>
          <w:i/>
          <w:iCs/>
          <w:sz w:val="24"/>
          <w:szCs w:val="24"/>
        </w:rPr>
        <w:t>p</w:t>
      </w:r>
      <w:r w:rsidR="006950AA" w:rsidRPr="001B336C">
        <w:rPr>
          <w:rFonts w:cstheme="minorHAnsi"/>
          <w:sz w:val="24"/>
          <w:szCs w:val="24"/>
        </w:rPr>
        <w:t xml:space="preserve"> &lt; 0.05, respectively). </w:t>
      </w:r>
      <w:r w:rsidR="00742BAB" w:rsidRPr="001B336C">
        <w:rPr>
          <w:rFonts w:cstheme="minorHAnsi"/>
          <w:sz w:val="24"/>
          <w:szCs w:val="24"/>
        </w:rPr>
        <w:t>Thus,</w:t>
      </w:r>
      <w:r w:rsidR="006950AA" w:rsidRPr="001B336C">
        <w:rPr>
          <w:rFonts w:cstheme="minorHAnsi"/>
          <w:sz w:val="24"/>
          <w:szCs w:val="24"/>
        </w:rPr>
        <w:t xml:space="preserve"> an empiric starting dose could be 2</w:t>
      </w:r>
      <w:r w:rsidR="006332E7" w:rsidRPr="001B336C">
        <w:rPr>
          <w:rFonts w:cstheme="minorHAnsi"/>
          <w:sz w:val="24"/>
          <w:szCs w:val="24"/>
        </w:rPr>
        <w:t>,</w:t>
      </w:r>
      <w:r w:rsidR="006950AA" w:rsidRPr="001B336C">
        <w:rPr>
          <w:rFonts w:cstheme="minorHAnsi"/>
          <w:sz w:val="24"/>
          <w:szCs w:val="24"/>
        </w:rPr>
        <w:t xml:space="preserve">000 FU twice a day. Full pharmacokinetic and pharmacodynamic studies have not been completed, but several years of market use as an over-the-counter supplement suggests </w:t>
      </w:r>
      <w:r w:rsidR="00773089" w:rsidRPr="001B336C">
        <w:rPr>
          <w:rFonts w:cstheme="minorHAnsi"/>
          <w:sz w:val="24"/>
          <w:szCs w:val="24"/>
        </w:rPr>
        <w:t xml:space="preserve">that </w:t>
      </w:r>
      <w:r w:rsidR="006950AA" w:rsidRPr="001B336C">
        <w:rPr>
          <w:rFonts w:cstheme="minorHAnsi"/>
          <w:sz w:val="24"/>
          <w:szCs w:val="24"/>
        </w:rPr>
        <w:t>nattokinase is safe</w:t>
      </w:r>
      <w:r w:rsidR="006332E7" w:rsidRPr="001B336C">
        <w:rPr>
          <w:rFonts w:cstheme="minorHAnsi"/>
          <w:sz w:val="24"/>
          <w:szCs w:val="24"/>
        </w:rPr>
        <w:t>,</w:t>
      </w:r>
      <w:r w:rsidR="006950AA" w:rsidRPr="001B336C">
        <w:rPr>
          <w:rFonts w:cstheme="minorHAnsi"/>
          <w:sz w:val="24"/>
          <w:szCs w:val="24"/>
        </w:rPr>
        <w:t xml:space="preserve"> with the main caveat being excessive bleeding</w:t>
      </w:r>
      <w:r w:rsidR="00773089" w:rsidRPr="001B336C">
        <w:rPr>
          <w:rFonts w:cstheme="minorHAnsi"/>
          <w:sz w:val="24"/>
          <w:szCs w:val="24"/>
        </w:rPr>
        <w:t xml:space="preserve">. Caution is needed </w:t>
      </w:r>
      <w:r w:rsidR="006950AA" w:rsidRPr="001B336C">
        <w:rPr>
          <w:rFonts w:cstheme="minorHAnsi"/>
          <w:sz w:val="24"/>
          <w:szCs w:val="24"/>
        </w:rPr>
        <w:t>with concurrent antiplatelet and anticoagulant drugs</w:t>
      </w:r>
      <w:r w:rsidR="009E76ED" w:rsidRPr="001B336C">
        <w:rPr>
          <w:rFonts w:cstheme="minorHAnsi"/>
          <w:sz w:val="24"/>
          <w:szCs w:val="24"/>
        </w:rPr>
        <w:t>.</w:t>
      </w:r>
      <w:r w:rsidR="00252447" w:rsidRPr="001B336C">
        <w:rPr>
          <w:rStyle w:val="EndnoteReference"/>
          <w:rFonts w:cstheme="minorHAnsi"/>
          <w:sz w:val="24"/>
          <w:szCs w:val="24"/>
        </w:rPr>
        <w:endnoteReference w:id="15"/>
      </w:r>
      <w:r w:rsidR="006332E7" w:rsidRPr="001B336C">
        <w:rPr>
          <w:rFonts w:cstheme="minorHAnsi"/>
          <w:sz w:val="24"/>
          <w:szCs w:val="24"/>
        </w:rPr>
        <w:t xml:space="preserve"> [15]</w:t>
      </w:r>
    </w:p>
    <w:p w14:paraId="6EEE90D2" w14:textId="4F48FD68" w:rsidR="00742BAB" w:rsidRPr="001B336C" w:rsidRDefault="0006755E" w:rsidP="00742BAB">
      <w:pPr>
        <w:spacing w:after="0"/>
        <w:ind w:firstLine="720"/>
        <w:rPr>
          <w:rFonts w:cstheme="minorHAnsi"/>
          <w:sz w:val="24"/>
          <w:szCs w:val="24"/>
        </w:rPr>
      </w:pPr>
      <w:r w:rsidRPr="001B336C">
        <w:rPr>
          <w:rFonts w:cstheme="minorHAnsi"/>
          <w:sz w:val="24"/>
          <w:szCs w:val="24"/>
        </w:rPr>
        <w:t>Oba and colleagues performed a series of experiments with various concentrations of nattokinase in preclinical models. They found</w:t>
      </w:r>
      <w:r w:rsidR="00773089" w:rsidRPr="001B336C">
        <w:rPr>
          <w:rFonts w:cstheme="minorHAnsi"/>
          <w:sz w:val="24"/>
          <w:szCs w:val="24"/>
        </w:rPr>
        <w:t xml:space="preserve"> that</w:t>
      </w:r>
      <w:r w:rsidRPr="001B336C">
        <w:rPr>
          <w:rFonts w:cstheme="minorHAnsi"/>
          <w:sz w:val="24"/>
          <w:szCs w:val="24"/>
        </w:rPr>
        <w:t xml:space="preserve"> nattokinase effectively stopped </w:t>
      </w:r>
      <w:r w:rsidR="006332E7" w:rsidRPr="001B336C">
        <w:rPr>
          <w:rFonts w:cstheme="minorHAnsi"/>
          <w:sz w:val="24"/>
          <w:szCs w:val="24"/>
        </w:rPr>
        <w:t xml:space="preserve">SARS-CoV-2 and bovine herpes virus type 1 </w:t>
      </w:r>
      <w:r w:rsidRPr="001B336C">
        <w:rPr>
          <w:rFonts w:cstheme="minorHAnsi"/>
          <w:sz w:val="24"/>
          <w:szCs w:val="24"/>
        </w:rPr>
        <w:t xml:space="preserve">infection of human cells in culture, </w:t>
      </w:r>
      <w:r w:rsidR="00773089" w:rsidRPr="001B336C">
        <w:rPr>
          <w:rFonts w:cstheme="minorHAnsi"/>
          <w:sz w:val="24"/>
          <w:szCs w:val="24"/>
        </w:rPr>
        <w:t>and that</w:t>
      </w:r>
      <w:r w:rsidRPr="001B336C">
        <w:rPr>
          <w:rFonts w:cstheme="minorHAnsi"/>
          <w:sz w:val="24"/>
          <w:szCs w:val="24"/>
        </w:rPr>
        <w:t xml:space="preserve"> the proteolytic effect of nattokinase was heat sensitive.</w:t>
      </w:r>
      <w:r w:rsidR="003915CD" w:rsidRPr="001B336C">
        <w:rPr>
          <w:rStyle w:val="EndnoteReference"/>
          <w:rFonts w:cstheme="minorHAnsi"/>
          <w:sz w:val="24"/>
          <w:szCs w:val="24"/>
        </w:rPr>
        <w:endnoteReference w:id="16"/>
      </w:r>
      <w:r w:rsidR="00742BAB" w:rsidRPr="001B336C">
        <w:rPr>
          <w:rFonts w:cstheme="minorHAnsi"/>
          <w:sz w:val="24"/>
          <w:szCs w:val="24"/>
        </w:rPr>
        <w:t xml:space="preserve"> </w:t>
      </w:r>
      <w:r w:rsidR="006332E7" w:rsidRPr="001B336C">
        <w:rPr>
          <w:rFonts w:cstheme="minorHAnsi"/>
          <w:sz w:val="24"/>
          <w:szCs w:val="24"/>
        </w:rPr>
        <w:t xml:space="preserve">[16] </w:t>
      </w:r>
      <w:r w:rsidR="004F07B1" w:rsidRPr="001B336C">
        <w:rPr>
          <w:rFonts w:cstheme="minorHAnsi"/>
          <w:sz w:val="24"/>
          <w:szCs w:val="24"/>
        </w:rPr>
        <w:t>Tanikawa et al</w:t>
      </w:r>
      <w:r w:rsidR="00773089" w:rsidRPr="001B336C">
        <w:rPr>
          <w:rFonts w:cstheme="minorHAnsi"/>
          <w:sz w:val="24"/>
          <w:szCs w:val="24"/>
        </w:rPr>
        <w:t>.</w:t>
      </w:r>
      <w:r w:rsidR="004F07B1" w:rsidRPr="001B336C">
        <w:rPr>
          <w:rFonts w:cstheme="minorHAnsi"/>
          <w:sz w:val="24"/>
          <w:szCs w:val="24"/>
        </w:rPr>
        <w:t xml:space="preserve"> examined the effect of nattokinase on the </w:t>
      </w:r>
      <w:r w:rsidR="000541B6" w:rsidRPr="001B336C">
        <w:rPr>
          <w:rFonts w:cstheme="minorHAnsi"/>
          <w:sz w:val="24"/>
          <w:szCs w:val="24"/>
        </w:rPr>
        <w:t>spike</w:t>
      </w:r>
      <w:r w:rsidR="004F07B1" w:rsidRPr="001B336C">
        <w:rPr>
          <w:rFonts w:cstheme="minorHAnsi"/>
          <w:sz w:val="24"/>
          <w:szCs w:val="24"/>
        </w:rPr>
        <w:t xml:space="preserve"> protein of SARS-CoV-2. In the first experiment they demonstrated that </w:t>
      </w:r>
      <w:r w:rsidR="000541B6" w:rsidRPr="001B336C">
        <w:rPr>
          <w:rFonts w:cstheme="minorHAnsi"/>
          <w:sz w:val="24"/>
          <w:szCs w:val="24"/>
        </w:rPr>
        <w:t>spike</w:t>
      </w:r>
      <w:r w:rsidR="004F07B1" w:rsidRPr="001B336C">
        <w:rPr>
          <w:rFonts w:cstheme="minorHAnsi"/>
          <w:sz w:val="24"/>
          <w:szCs w:val="24"/>
        </w:rPr>
        <w:t xml:space="preserve"> was degraded in a time and dose</w:t>
      </w:r>
      <w:r w:rsidR="00773089" w:rsidRPr="001B336C">
        <w:rPr>
          <w:rFonts w:cstheme="minorHAnsi"/>
          <w:sz w:val="24"/>
          <w:szCs w:val="24"/>
        </w:rPr>
        <w:t>-</w:t>
      </w:r>
      <w:r w:rsidR="004F07B1" w:rsidRPr="001B336C">
        <w:rPr>
          <w:rFonts w:cstheme="minorHAnsi"/>
          <w:sz w:val="24"/>
          <w:szCs w:val="24"/>
        </w:rPr>
        <w:t>dependent manner in a cell lysate preparation</w:t>
      </w:r>
      <w:r w:rsidR="001E104F" w:rsidRPr="001B336C">
        <w:rPr>
          <w:rFonts w:cstheme="minorHAnsi"/>
          <w:sz w:val="24"/>
          <w:szCs w:val="24"/>
        </w:rPr>
        <w:t>.</w:t>
      </w:r>
      <w:r w:rsidR="004F07B1" w:rsidRPr="001B336C">
        <w:rPr>
          <w:rFonts w:cstheme="minorHAnsi"/>
          <w:sz w:val="24"/>
          <w:szCs w:val="24"/>
        </w:rPr>
        <w:t xml:space="preserve"> that could be analogous to a vaccine recipient. The second experiment demonstrated that nattokinase degraded the </w:t>
      </w:r>
      <w:r w:rsidR="000541B6" w:rsidRPr="001B336C">
        <w:rPr>
          <w:rFonts w:cstheme="minorHAnsi"/>
          <w:sz w:val="24"/>
          <w:szCs w:val="24"/>
        </w:rPr>
        <w:t>spike</w:t>
      </w:r>
      <w:r w:rsidR="004F07B1" w:rsidRPr="001B336C">
        <w:rPr>
          <w:rFonts w:cstheme="minorHAnsi"/>
          <w:sz w:val="24"/>
          <w:szCs w:val="24"/>
        </w:rPr>
        <w:t xml:space="preserve"> protein in SARS-CoV-2</w:t>
      </w:r>
      <w:r w:rsidR="006332E7" w:rsidRPr="001B336C">
        <w:rPr>
          <w:rFonts w:cstheme="minorHAnsi"/>
          <w:sz w:val="24"/>
          <w:szCs w:val="24"/>
        </w:rPr>
        <w:t>-</w:t>
      </w:r>
      <w:r w:rsidR="004F07B1" w:rsidRPr="001B336C">
        <w:rPr>
          <w:rFonts w:cstheme="minorHAnsi"/>
          <w:sz w:val="24"/>
          <w:szCs w:val="24"/>
        </w:rPr>
        <w:t>infected cells. This reproduced a similar study done by Oba and colleagues.</w:t>
      </w:r>
      <w:r w:rsidR="006A0EAE" w:rsidRPr="001B336C">
        <w:rPr>
          <w:rStyle w:val="EndnoteReference"/>
          <w:rFonts w:cstheme="minorHAnsi"/>
          <w:sz w:val="24"/>
          <w:szCs w:val="24"/>
        </w:rPr>
        <w:endnoteReference w:id="17"/>
      </w:r>
      <w:r w:rsidR="00797BAA" w:rsidRPr="001B336C">
        <w:rPr>
          <w:rFonts w:cstheme="minorHAnsi"/>
          <w:sz w:val="24"/>
          <w:szCs w:val="24"/>
        </w:rPr>
        <w:t xml:space="preserve"> </w:t>
      </w:r>
      <w:r w:rsidR="006332E7" w:rsidRPr="001B336C">
        <w:rPr>
          <w:rFonts w:cstheme="minorHAnsi"/>
          <w:sz w:val="24"/>
          <w:szCs w:val="24"/>
        </w:rPr>
        <w:t xml:space="preserve">[17] </w:t>
      </w:r>
      <w:r w:rsidR="00D741DA" w:rsidRPr="001B336C">
        <w:rPr>
          <w:rFonts w:cstheme="minorHAnsi"/>
          <w:sz w:val="24"/>
          <w:szCs w:val="24"/>
        </w:rPr>
        <w:t xml:space="preserve">Because of the risk of bleeding, </w:t>
      </w:r>
      <w:r w:rsidR="00B34001" w:rsidRPr="001B336C">
        <w:rPr>
          <w:rFonts w:cstheme="minorHAnsi"/>
          <w:sz w:val="24"/>
          <w:szCs w:val="24"/>
        </w:rPr>
        <w:t>patients must be strongly cautioned to seek medical supervision with combining this nutraceutical with concurrent antiplatelet and anticoagulant drugs.</w:t>
      </w:r>
      <w:r w:rsidR="00742BAB" w:rsidRPr="001B336C">
        <w:rPr>
          <w:rFonts w:cstheme="minorHAnsi"/>
          <w:sz w:val="24"/>
          <w:szCs w:val="24"/>
        </w:rPr>
        <w:t xml:space="preserve"> </w:t>
      </w:r>
      <w:r w:rsidR="00B34001" w:rsidRPr="001B336C">
        <w:rPr>
          <w:rFonts w:cstheme="minorHAnsi"/>
          <w:sz w:val="24"/>
          <w:szCs w:val="24"/>
        </w:rPr>
        <w:t>Additionally,</w:t>
      </w:r>
      <w:r w:rsidR="00797BAA" w:rsidRPr="001B336C">
        <w:rPr>
          <w:rFonts w:cstheme="minorHAnsi"/>
          <w:sz w:val="24"/>
          <w:szCs w:val="24"/>
        </w:rPr>
        <w:t xml:space="preserve"> allergic reactions</w:t>
      </w:r>
      <w:r w:rsidR="00B34001" w:rsidRPr="001B336C">
        <w:rPr>
          <w:rFonts w:cstheme="minorHAnsi"/>
          <w:sz w:val="24"/>
          <w:szCs w:val="24"/>
        </w:rPr>
        <w:t xml:space="preserve"> can occur</w:t>
      </w:r>
      <w:r w:rsidR="00D741DA" w:rsidRPr="001B336C">
        <w:rPr>
          <w:rFonts w:cstheme="minorHAnsi"/>
          <w:sz w:val="24"/>
          <w:szCs w:val="24"/>
        </w:rPr>
        <w:t>,</w:t>
      </w:r>
      <w:r w:rsidR="00B34001" w:rsidRPr="001B336C">
        <w:rPr>
          <w:rFonts w:cstheme="minorHAnsi"/>
          <w:sz w:val="24"/>
          <w:szCs w:val="24"/>
        </w:rPr>
        <w:t xml:space="preserve"> especially</w:t>
      </w:r>
      <w:r w:rsidR="00797BAA" w:rsidRPr="001B336C">
        <w:rPr>
          <w:rFonts w:cstheme="minorHAnsi"/>
          <w:sz w:val="24"/>
          <w:szCs w:val="24"/>
        </w:rPr>
        <w:t xml:space="preserve"> in patients who have known soy allergies.</w:t>
      </w:r>
      <w:r w:rsidR="00742BAB" w:rsidRPr="001B336C">
        <w:rPr>
          <w:rFonts w:cstheme="minorHAnsi"/>
          <w:sz w:val="24"/>
          <w:szCs w:val="24"/>
        </w:rPr>
        <w:t xml:space="preserve"> </w:t>
      </w:r>
      <w:r w:rsidR="006332E7" w:rsidRPr="001B336C">
        <w:rPr>
          <w:rFonts w:cstheme="minorHAnsi"/>
          <w:sz w:val="24"/>
          <w:szCs w:val="24"/>
        </w:rPr>
        <w:t>There is insufficient information for the use of n</w:t>
      </w:r>
      <w:r w:rsidR="00797BAA" w:rsidRPr="001B336C">
        <w:rPr>
          <w:rFonts w:cstheme="minorHAnsi"/>
          <w:sz w:val="24"/>
          <w:szCs w:val="24"/>
        </w:rPr>
        <w:t xml:space="preserve">attokinase in </w:t>
      </w:r>
      <w:r w:rsidR="006332E7" w:rsidRPr="001B336C">
        <w:rPr>
          <w:rFonts w:cstheme="minorHAnsi"/>
          <w:sz w:val="24"/>
          <w:szCs w:val="24"/>
        </w:rPr>
        <w:t xml:space="preserve">children or </w:t>
      </w:r>
      <w:r w:rsidR="00797BAA" w:rsidRPr="001B336C">
        <w:rPr>
          <w:rFonts w:cstheme="minorHAnsi"/>
          <w:sz w:val="24"/>
          <w:szCs w:val="24"/>
        </w:rPr>
        <w:t>pregnant or lactating women</w:t>
      </w:r>
      <w:r w:rsidR="00742BAB" w:rsidRPr="001B336C">
        <w:rPr>
          <w:rFonts w:cstheme="minorHAnsi"/>
          <w:sz w:val="24"/>
          <w:szCs w:val="24"/>
        </w:rPr>
        <w:t>.</w:t>
      </w:r>
    </w:p>
    <w:p w14:paraId="0B28939A" w14:textId="5136C618" w:rsidR="0006755E" w:rsidRPr="001B336C" w:rsidRDefault="0006755E" w:rsidP="00742BAB">
      <w:pPr>
        <w:spacing w:after="0"/>
        <w:ind w:firstLine="720"/>
        <w:rPr>
          <w:rFonts w:cstheme="minorHAnsi"/>
          <w:sz w:val="24"/>
          <w:szCs w:val="24"/>
        </w:rPr>
      </w:pPr>
    </w:p>
    <w:p w14:paraId="5FBC3006" w14:textId="45DE36E6" w:rsidR="002B6F68" w:rsidRPr="001B336C" w:rsidRDefault="002B6F68" w:rsidP="003E2D4F">
      <w:pPr>
        <w:spacing w:after="0"/>
        <w:rPr>
          <w:rFonts w:cstheme="minorHAnsi"/>
          <w:b/>
          <w:bCs/>
          <w:sz w:val="24"/>
          <w:szCs w:val="24"/>
          <w:u w:val="single"/>
        </w:rPr>
      </w:pPr>
      <w:r w:rsidRPr="001B336C">
        <w:rPr>
          <w:rFonts w:cstheme="minorHAnsi"/>
          <w:b/>
          <w:bCs/>
          <w:sz w:val="24"/>
          <w:szCs w:val="24"/>
          <w:u w:val="single"/>
        </w:rPr>
        <w:t>Bromelain</w:t>
      </w:r>
    </w:p>
    <w:p w14:paraId="417334D0" w14:textId="0AB4BE42" w:rsidR="00D741DA" w:rsidRPr="001B336C" w:rsidRDefault="00BE085B" w:rsidP="00742BAB">
      <w:pPr>
        <w:spacing w:after="0"/>
        <w:ind w:firstLine="720"/>
        <w:rPr>
          <w:rFonts w:cstheme="minorHAnsi"/>
          <w:sz w:val="24"/>
          <w:szCs w:val="24"/>
        </w:rPr>
      </w:pPr>
      <w:r w:rsidRPr="001B336C">
        <w:rPr>
          <w:rFonts w:cstheme="minorHAnsi"/>
          <w:sz w:val="24"/>
          <w:szCs w:val="24"/>
        </w:rPr>
        <w:t>Bromelain is a</w:t>
      </w:r>
      <w:r w:rsidR="00452962" w:rsidRPr="001B336C">
        <w:rPr>
          <w:rFonts w:cstheme="minorHAnsi"/>
          <w:sz w:val="24"/>
          <w:szCs w:val="24"/>
        </w:rPr>
        <w:t xml:space="preserve"> family of</w:t>
      </w:r>
      <w:r w:rsidRPr="001B336C">
        <w:rPr>
          <w:rFonts w:cstheme="minorHAnsi"/>
          <w:sz w:val="24"/>
          <w:szCs w:val="24"/>
        </w:rPr>
        <w:t xml:space="preserve"> cysteine protease</w:t>
      </w:r>
      <w:r w:rsidR="00452962" w:rsidRPr="001B336C">
        <w:rPr>
          <w:rFonts w:cstheme="minorHAnsi"/>
          <w:sz w:val="24"/>
          <w:szCs w:val="24"/>
        </w:rPr>
        <w:t>s</w:t>
      </w:r>
      <w:r w:rsidRPr="001B336C">
        <w:rPr>
          <w:rFonts w:cstheme="minorHAnsi"/>
          <w:sz w:val="24"/>
          <w:szCs w:val="24"/>
        </w:rPr>
        <w:t>, isolated from the pineapple stem (</w:t>
      </w:r>
      <w:r w:rsidRPr="001B336C">
        <w:rPr>
          <w:rFonts w:cstheme="minorHAnsi"/>
          <w:i/>
          <w:iCs/>
          <w:sz w:val="24"/>
          <w:szCs w:val="24"/>
        </w:rPr>
        <w:t>Ananas comosus</w:t>
      </w:r>
      <w:r w:rsidRPr="001B336C">
        <w:rPr>
          <w:rFonts w:cstheme="minorHAnsi"/>
          <w:sz w:val="24"/>
          <w:szCs w:val="24"/>
        </w:rPr>
        <w:t>).</w:t>
      </w:r>
      <w:r w:rsidR="005A4811" w:rsidRPr="001B336C">
        <w:rPr>
          <w:rStyle w:val="EndnoteReference"/>
          <w:rFonts w:cstheme="minorHAnsi"/>
          <w:sz w:val="24"/>
          <w:szCs w:val="24"/>
        </w:rPr>
        <w:endnoteReference w:id="18"/>
      </w:r>
      <w:r w:rsidRPr="001B336C">
        <w:rPr>
          <w:rFonts w:cstheme="minorHAnsi"/>
          <w:sz w:val="24"/>
          <w:szCs w:val="24"/>
        </w:rPr>
        <w:t xml:space="preserve"> </w:t>
      </w:r>
      <w:r w:rsidR="006332E7" w:rsidRPr="001B336C">
        <w:rPr>
          <w:rFonts w:cstheme="minorHAnsi"/>
          <w:sz w:val="24"/>
          <w:szCs w:val="24"/>
        </w:rPr>
        <w:t xml:space="preserve">[18] </w:t>
      </w:r>
      <w:r w:rsidRPr="001B336C">
        <w:rPr>
          <w:rFonts w:cstheme="minorHAnsi"/>
          <w:sz w:val="24"/>
          <w:szCs w:val="24"/>
        </w:rPr>
        <w:t>Traditionally, it has been used for its antiinflammatory and healing effects in cases of arthritis and injury, while it has been approved in Europe for the debridement of burn wounds. Experimental studies have demonstrated that bromelain presents unique immunomodulatory actions: 1) downregulation of the proinflammatory prostaglandin PGE-2 through inhibition of NF-kB and cyclooxygenase 2 (COX-2); 2)</w:t>
      </w:r>
      <w:r w:rsidR="00405DE4" w:rsidRPr="001B336C">
        <w:rPr>
          <w:rFonts w:cstheme="minorHAnsi"/>
          <w:sz w:val="24"/>
          <w:szCs w:val="24"/>
        </w:rPr>
        <w:t xml:space="preserve"> </w:t>
      </w:r>
      <w:r w:rsidRPr="001B336C">
        <w:rPr>
          <w:rFonts w:cstheme="minorHAnsi"/>
          <w:sz w:val="24"/>
          <w:szCs w:val="24"/>
        </w:rPr>
        <w:t xml:space="preserve">upregulation of the </w:t>
      </w:r>
      <w:proofErr w:type="spellStart"/>
      <w:r w:rsidRPr="001B336C">
        <w:rPr>
          <w:rFonts w:cstheme="minorHAnsi"/>
          <w:sz w:val="24"/>
          <w:szCs w:val="24"/>
        </w:rPr>
        <w:t>antiinflammatory</w:t>
      </w:r>
      <w:proofErr w:type="spellEnd"/>
      <w:r w:rsidRPr="001B336C">
        <w:rPr>
          <w:rFonts w:cstheme="minorHAnsi"/>
          <w:sz w:val="24"/>
          <w:szCs w:val="24"/>
        </w:rPr>
        <w:t xml:space="preserve"> PGE-1</w:t>
      </w:r>
      <w:r w:rsidR="0030768E" w:rsidRPr="001B336C">
        <w:rPr>
          <w:rFonts w:cstheme="minorHAnsi"/>
          <w:sz w:val="24"/>
          <w:szCs w:val="24"/>
        </w:rPr>
        <w:t xml:space="preserve"> (Figure 1)</w:t>
      </w:r>
      <w:r w:rsidRPr="001B336C">
        <w:rPr>
          <w:rFonts w:cstheme="minorHAnsi"/>
          <w:sz w:val="24"/>
          <w:szCs w:val="24"/>
        </w:rPr>
        <w:t>; 3) activation of inflammatory mediators (interleukin 1b, interleukin-6, tumor necrosis factor-a</w:t>
      </w:r>
      <w:r w:rsidR="00D741DA" w:rsidRPr="001B336C">
        <w:rPr>
          <w:rFonts w:cstheme="minorHAnsi"/>
          <w:sz w:val="24"/>
          <w:szCs w:val="24"/>
        </w:rPr>
        <w:t>,</w:t>
      </w:r>
      <w:r w:rsidRPr="001B336C">
        <w:rPr>
          <w:rFonts w:cstheme="minorHAnsi"/>
          <w:sz w:val="24"/>
          <w:szCs w:val="24"/>
        </w:rPr>
        <w:t xml:space="preserve"> and interferon-g) as an acute response to cellular stress, but also inhibition of inflammatory mediators in states of overt cytokine production; 4) modulation of T</w:t>
      </w:r>
      <w:r w:rsidR="006332E7" w:rsidRPr="001B336C">
        <w:rPr>
          <w:rFonts w:cstheme="minorHAnsi"/>
          <w:sz w:val="24"/>
          <w:szCs w:val="24"/>
        </w:rPr>
        <w:t>-</w:t>
      </w:r>
      <w:r w:rsidRPr="001B336C">
        <w:rPr>
          <w:rFonts w:cstheme="minorHAnsi"/>
          <w:sz w:val="24"/>
          <w:szCs w:val="24"/>
        </w:rPr>
        <w:t>cell responses in vitro and in vivo; and 5) enhancement of T-cell dependent antigen</w:t>
      </w:r>
      <w:r w:rsidR="00405DE4" w:rsidRPr="001B336C">
        <w:rPr>
          <w:rFonts w:cstheme="minorHAnsi"/>
          <w:sz w:val="24"/>
          <w:szCs w:val="24"/>
        </w:rPr>
        <w:t>-</w:t>
      </w:r>
      <w:r w:rsidRPr="001B336C">
        <w:rPr>
          <w:rFonts w:cstheme="minorHAnsi"/>
          <w:sz w:val="24"/>
          <w:szCs w:val="24"/>
        </w:rPr>
        <w:t>specific B</w:t>
      </w:r>
      <w:r w:rsidR="006332E7" w:rsidRPr="001B336C">
        <w:rPr>
          <w:rFonts w:cstheme="minorHAnsi"/>
          <w:sz w:val="24"/>
          <w:szCs w:val="24"/>
        </w:rPr>
        <w:t>-</w:t>
      </w:r>
      <w:r w:rsidRPr="001B336C">
        <w:rPr>
          <w:rFonts w:cstheme="minorHAnsi"/>
          <w:sz w:val="24"/>
          <w:szCs w:val="24"/>
        </w:rPr>
        <w:t>cell antibody responses.</w:t>
      </w:r>
    </w:p>
    <w:p w14:paraId="72A28592" w14:textId="11CD1418" w:rsidR="00D741DA" w:rsidRPr="001B336C" w:rsidRDefault="00BE085B" w:rsidP="00742BAB">
      <w:pPr>
        <w:spacing w:after="0"/>
        <w:ind w:firstLine="720"/>
        <w:rPr>
          <w:rFonts w:cstheme="minorHAnsi"/>
          <w:sz w:val="24"/>
          <w:szCs w:val="24"/>
        </w:rPr>
      </w:pPr>
      <w:r w:rsidRPr="001B336C">
        <w:rPr>
          <w:rFonts w:cstheme="minorHAnsi"/>
          <w:sz w:val="24"/>
          <w:szCs w:val="24"/>
        </w:rPr>
        <w:t>Importantly, bromelain exerts dose-dependent anticoagulant effects: 1) downregulation of PGE-2 and thromboxane A2 (TXA2), thus leading to relative excess of prostacyclin</w:t>
      </w:r>
      <w:r w:rsidR="00BD5DDF" w:rsidRPr="001B336C">
        <w:rPr>
          <w:rFonts w:cstheme="minorHAnsi"/>
          <w:sz w:val="24"/>
          <w:szCs w:val="24"/>
        </w:rPr>
        <w:t xml:space="preserve"> in platelets</w:t>
      </w:r>
      <w:r w:rsidR="000E21D1" w:rsidRPr="001B336C">
        <w:rPr>
          <w:rFonts w:cstheme="minorHAnsi"/>
          <w:sz w:val="24"/>
          <w:szCs w:val="24"/>
        </w:rPr>
        <w:t>,</w:t>
      </w:r>
      <w:r w:rsidR="00D741DA" w:rsidRPr="001B336C">
        <w:rPr>
          <w:rFonts w:cstheme="minorHAnsi"/>
          <w:sz w:val="24"/>
          <w:szCs w:val="24"/>
        </w:rPr>
        <w:t xml:space="preserve"> and</w:t>
      </w:r>
      <w:r w:rsidRPr="001B336C">
        <w:rPr>
          <w:rFonts w:cstheme="minorHAnsi"/>
          <w:sz w:val="24"/>
          <w:szCs w:val="24"/>
        </w:rPr>
        <w:t xml:space="preserve"> 2) promotion of fibrinolysis by stimulating the conversion of plasminogen to plasmin and prevention of platelet aggregation</w:t>
      </w:r>
      <w:r w:rsidR="0038670E" w:rsidRPr="001B336C">
        <w:rPr>
          <w:rFonts w:cstheme="minorHAnsi"/>
          <w:sz w:val="24"/>
          <w:szCs w:val="24"/>
        </w:rPr>
        <w:t xml:space="preserve"> (Figure 1)</w:t>
      </w:r>
      <w:r w:rsidRPr="001B336C">
        <w:rPr>
          <w:rFonts w:cstheme="minorHAnsi"/>
          <w:sz w:val="24"/>
          <w:szCs w:val="24"/>
        </w:rPr>
        <w:t xml:space="preserve">. </w:t>
      </w:r>
    </w:p>
    <w:p w14:paraId="2827CA50" w14:textId="6C9A6386" w:rsidR="0038670E" w:rsidRPr="001B336C" w:rsidRDefault="00656E4B" w:rsidP="00742BAB">
      <w:pPr>
        <w:spacing w:after="0"/>
        <w:ind w:firstLine="720"/>
        <w:rPr>
          <w:rFonts w:cstheme="minorHAnsi"/>
          <w:sz w:val="24"/>
          <w:szCs w:val="24"/>
        </w:rPr>
      </w:pPr>
      <w:r w:rsidRPr="001B336C">
        <w:rPr>
          <w:noProof/>
        </w:rPr>
        <w:lastRenderedPageBreak/>
        <w:drawing>
          <wp:inline distT="0" distB="0" distL="0" distR="0" wp14:anchorId="10DA92DD" wp14:editId="1EB29B52">
            <wp:extent cx="5943600" cy="4665345"/>
            <wp:effectExtent l="0" t="0" r="0" b="1905"/>
            <wp:docPr id="1040294916" name="Picture 1" descr="A diagram of different types of med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294916" name="Picture 1" descr="A diagram of different types of med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65345"/>
                    </a:xfrm>
                    <a:prstGeom prst="rect">
                      <a:avLst/>
                    </a:prstGeom>
                    <a:noFill/>
                    <a:ln>
                      <a:noFill/>
                    </a:ln>
                  </pic:spPr>
                </pic:pic>
              </a:graphicData>
            </a:graphic>
          </wp:inline>
        </w:drawing>
      </w:r>
    </w:p>
    <w:p w14:paraId="47FB74FE" w14:textId="77777777" w:rsidR="00656E4B" w:rsidRPr="001B336C" w:rsidRDefault="00656E4B" w:rsidP="00742BAB">
      <w:pPr>
        <w:spacing w:after="0"/>
        <w:ind w:firstLine="720"/>
        <w:rPr>
          <w:rFonts w:cstheme="minorHAnsi"/>
          <w:sz w:val="24"/>
          <w:szCs w:val="24"/>
        </w:rPr>
      </w:pPr>
    </w:p>
    <w:p w14:paraId="3E2519D0" w14:textId="6E2E3B18" w:rsidR="00656E4B" w:rsidRPr="001B336C" w:rsidRDefault="00656E4B" w:rsidP="00656E4B">
      <w:pPr>
        <w:spacing w:after="0"/>
        <w:rPr>
          <w:rFonts w:cstheme="minorHAnsi"/>
          <w:sz w:val="24"/>
          <w:szCs w:val="24"/>
        </w:rPr>
      </w:pPr>
      <w:r w:rsidRPr="001B336C">
        <w:rPr>
          <w:rFonts w:cstheme="minorHAnsi"/>
          <w:b/>
          <w:bCs/>
          <w:sz w:val="24"/>
          <w:szCs w:val="24"/>
        </w:rPr>
        <w:t>Figure 1.</w:t>
      </w:r>
      <w:r w:rsidRPr="001B336C">
        <w:rPr>
          <w:rFonts w:cstheme="minorHAnsi"/>
          <w:sz w:val="24"/>
          <w:szCs w:val="24"/>
        </w:rPr>
        <w:t xml:space="preserve"> Venn Diagram of Mechanisms of Action of </w:t>
      </w:r>
      <w:proofErr w:type="gramStart"/>
      <w:r w:rsidRPr="001B336C">
        <w:rPr>
          <w:rFonts w:cstheme="minorHAnsi"/>
          <w:sz w:val="24"/>
          <w:szCs w:val="24"/>
        </w:rPr>
        <w:t xml:space="preserve">Proposed </w:t>
      </w:r>
      <w:r w:rsidR="0030768E" w:rsidRPr="001B336C">
        <w:rPr>
          <w:rFonts w:cstheme="minorHAnsi"/>
          <w:sz w:val="24"/>
          <w:szCs w:val="24"/>
        </w:rPr>
        <w:t xml:space="preserve"> </w:t>
      </w:r>
      <w:r w:rsidRPr="001B336C">
        <w:rPr>
          <w:rFonts w:cstheme="minorHAnsi"/>
          <w:sz w:val="24"/>
          <w:szCs w:val="24"/>
        </w:rPr>
        <w:t>Agents</w:t>
      </w:r>
      <w:proofErr w:type="gramEnd"/>
      <w:r w:rsidR="0030768E" w:rsidRPr="001B336C">
        <w:rPr>
          <w:rFonts w:cstheme="minorHAnsi"/>
          <w:sz w:val="24"/>
          <w:szCs w:val="24"/>
        </w:rPr>
        <w:t xml:space="preserve"> that Target the SARS-CoV-2 Spike Protein</w:t>
      </w:r>
    </w:p>
    <w:p w14:paraId="5A6EAA33" w14:textId="77777777" w:rsidR="00656E4B" w:rsidRPr="001B336C" w:rsidRDefault="00656E4B" w:rsidP="00742BAB">
      <w:pPr>
        <w:spacing w:after="0"/>
        <w:ind w:firstLine="720"/>
        <w:rPr>
          <w:rFonts w:cstheme="minorHAnsi"/>
          <w:sz w:val="24"/>
          <w:szCs w:val="24"/>
        </w:rPr>
      </w:pPr>
    </w:p>
    <w:p w14:paraId="29CA2ED2" w14:textId="4080B773" w:rsidR="00D741DA" w:rsidRPr="001B336C" w:rsidRDefault="00BE085B" w:rsidP="00742BAB">
      <w:pPr>
        <w:spacing w:after="0"/>
        <w:ind w:firstLine="720"/>
        <w:rPr>
          <w:rFonts w:cstheme="minorHAnsi"/>
          <w:sz w:val="24"/>
          <w:szCs w:val="24"/>
        </w:rPr>
      </w:pPr>
      <w:r w:rsidRPr="001B336C">
        <w:rPr>
          <w:rFonts w:cstheme="minorHAnsi"/>
          <w:sz w:val="24"/>
          <w:szCs w:val="24"/>
        </w:rPr>
        <w:t>Bromelain also hydrolyzes bradykinin and reduces kininogen and bradykinin levels in serum and tissues, improving inflammation and edema as shown in animal studies.</w:t>
      </w:r>
      <w:r w:rsidR="00A00D20" w:rsidRPr="001B336C">
        <w:rPr>
          <w:rStyle w:val="EndnoteReference"/>
          <w:rFonts w:cstheme="minorHAnsi"/>
          <w:sz w:val="24"/>
          <w:szCs w:val="24"/>
        </w:rPr>
        <w:endnoteReference w:id="19"/>
      </w:r>
      <w:r w:rsidRPr="001B336C">
        <w:rPr>
          <w:rFonts w:cstheme="minorHAnsi"/>
          <w:sz w:val="24"/>
          <w:szCs w:val="24"/>
        </w:rPr>
        <w:t xml:space="preserve"> </w:t>
      </w:r>
      <w:r w:rsidR="000E21D1" w:rsidRPr="001B336C">
        <w:rPr>
          <w:rFonts w:cstheme="minorHAnsi"/>
          <w:sz w:val="24"/>
          <w:szCs w:val="24"/>
        </w:rPr>
        <w:t xml:space="preserve">[19] </w:t>
      </w:r>
      <w:r w:rsidRPr="001B336C">
        <w:rPr>
          <w:rFonts w:cstheme="minorHAnsi"/>
          <w:sz w:val="24"/>
          <w:szCs w:val="24"/>
        </w:rPr>
        <w:t>Notably, the latter action supports a potential role of bromelain in alleviating COVID-19 symptoms such as cough, fever</w:t>
      </w:r>
      <w:r w:rsidR="00D741DA" w:rsidRPr="001B336C">
        <w:rPr>
          <w:rFonts w:cstheme="minorHAnsi"/>
          <w:sz w:val="24"/>
          <w:szCs w:val="24"/>
        </w:rPr>
        <w:t>,</w:t>
      </w:r>
      <w:r w:rsidRPr="001B336C">
        <w:rPr>
          <w:rFonts w:cstheme="minorHAnsi"/>
          <w:sz w:val="24"/>
          <w:szCs w:val="24"/>
        </w:rPr>
        <w:t xml:space="preserve"> and pain, and the more serious implications of inflammation, thrombosis</w:t>
      </w:r>
      <w:r w:rsidR="000E21D1" w:rsidRPr="001B336C">
        <w:rPr>
          <w:rFonts w:cstheme="minorHAnsi"/>
          <w:sz w:val="24"/>
          <w:szCs w:val="24"/>
        </w:rPr>
        <w:t>,</w:t>
      </w:r>
      <w:r w:rsidRPr="001B336C">
        <w:rPr>
          <w:rFonts w:cstheme="minorHAnsi"/>
          <w:sz w:val="24"/>
          <w:szCs w:val="24"/>
        </w:rPr>
        <w:t xml:space="preserve"> and edema. The effect of bromelain on PGE-2 inhibition exceeds that of prednisone and aspirin, presenting very low toxicity and no major side effects. </w:t>
      </w:r>
    </w:p>
    <w:p w14:paraId="6B3F3EA1" w14:textId="3BF79367" w:rsidR="00D741DA" w:rsidRPr="001B336C" w:rsidRDefault="00D741DA" w:rsidP="00742BAB">
      <w:pPr>
        <w:spacing w:after="0"/>
        <w:ind w:firstLine="720"/>
        <w:rPr>
          <w:rFonts w:cstheme="minorHAnsi"/>
          <w:sz w:val="24"/>
          <w:szCs w:val="24"/>
        </w:rPr>
      </w:pPr>
      <w:r w:rsidRPr="001B336C">
        <w:rPr>
          <w:rFonts w:cstheme="minorHAnsi"/>
          <w:sz w:val="24"/>
          <w:szCs w:val="24"/>
        </w:rPr>
        <w:t>Additionally</w:t>
      </w:r>
      <w:r w:rsidR="00BE085B" w:rsidRPr="001B336C">
        <w:rPr>
          <w:rFonts w:cstheme="minorHAnsi"/>
          <w:sz w:val="24"/>
          <w:szCs w:val="24"/>
        </w:rPr>
        <w:t xml:space="preserve">, a recent experimental study demonstrated that bromelain inhibits infection of VeroE6 cells by SARS-CoV-2 through blocking the virus binding and entry into cells </w:t>
      </w:r>
      <w:r w:rsidR="00C71AEF" w:rsidRPr="001B336C">
        <w:rPr>
          <w:rFonts w:cstheme="minorHAnsi"/>
          <w:sz w:val="24"/>
          <w:szCs w:val="24"/>
        </w:rPr>
        <w:t>by</w:t>
      </w:r>
      <w:r w:rsidR="00BE085B" w:rsidRPr="001B336C">
        <w:rPr>
          <w:rFonts w:cstheme="minorHAnsi"/>
          <w:sz w:val="24"/>
          <w:szCs w:val="24"/>
        </w:rPr>
        <w:t xml:space="preserve"> downregulation of ACE-2 and TMPRSS2 expression, and cleavage of the SARS-CoV-2 spike protein, presenting a novel </w:t>
      </w:r>
      <w:r w:rsidR="000E21D1" w:rsidRPr="001B336C">
        <w:rPr>
          <w:rFonts w:cstheme="minorHAnsi"/>
          <w:sz w:val="24"/>
          <w:szCs w:val="24"/>
        </w:rPr>
        <w:t xml:space="preserve">and </w:t>
      </w:r>
      <w:r w:rsidR="00BE085B" w:rsidRPr="001B336C">
        <w:rPr>
          <w:rFonts w:cstheme="minorHAnsi"/>
          <w:sz w:val="24"/>
          <w:szCs w:val="24"/>
        </w:rPr>
        <w:t>promising therapeutic option</w:t>
      </w:r>
      <w:r w:rsidR="000E21D1" w:rsidRPr="001B336C">
        <w:rPr>
          <w:rFonts w:cstheme="minorHAnsi"/>
          <w:sz w:val="24"/>
          <w:szCs w:val="24"/>
        </w:rPr>
        <w:t>, which</w:t>
      </w:r>
      <w:r w:rsidR="00BE085B" w:rsidRPr="001B336C">
        <w:rPr>
          <w:rFonts w:cstheme="minorHAnsi"/>
          <w:sz w:val="24"/>
          <w:szCs w:val="24"/>
        </w:rPr>
        <w:t xml:space="preserve"> warrants further investigation.</w:t>
      </w:r>
      <w:r w:rsidR="00111485" w:rsidRPr="001B336C">
        <w:rPr>
          <w:rStyle w:val="EndnoteReference"/>
          <w:rFonts w:cstheme="minorHAnsi"/>
          <w:sz w:val="24"/>
          <w:szCs w:val="24"/>
        </w:rPr>
        <w:endnoteReference w:id="20"/>
      </w:r>
      <w:r w:rsidR="00A00D20" w:rsidRPr="001B336C">
        <w:rPr>
          <w:rFonts w:cstheme="minorHAnsi"/>
          <w:sz w:val="24"/>
          <w:szCs w:val="24"/>
        </w:rPr>
        <w:t xml:space="preserve"> </w:t>
      </w:r>
      <w:r w:rsidR="000E21D1" w:rsidRPr="001B336C">
        <w:rPr>
          <w:rFonts w:cstheme="minorHAnsi"/>
          <w:sz w:val="24"/>
          <w:szCs w:val="24"/>
        </w:rPr>
        <w:t>[20]</w:t>
      </w:r>
    </w:p>
    <w:p w14:paraId="372CAA65" w14:textId="2FB484C6" w:rsidR="002B6F68" w:rsidRPr="001B336C" w:rsidRDefault="00D41CBA" w:rsidP="00742BAB">
      <w:pPr>
        <w:spacing w:after="0"/>
        <w:ind w:firstLine="720"/>
        <w:rPr>
          <w:rFonts w:cstheme="minorHAnsi"/>
          <w:sz w:val="24"/>
          <w:szCs w:val="24"/>
        </w:rPr>
      </w:pPr>
      <w:r w:rsidRPr="001B336C">
        <w:rPr>
          <w:rFonts w:cstheme="minorHAnsi"/>
          <w:sz w:val="24"/>
          <w:szCs w:val="24"/>
        </w:rPr>
        <w:t>Bromelain</w:t>
      </w:r>
      <w:r w:rsidR="00261B1A" w:rsidRPr="001B336C">
        <w:rPr>
          <w:rFonts w:cstheme="minorHAnsi"/>
          <w:sz w:val="24"/>
          <w:szCs w:val="24"/>
        </w:rPr>
        <w:t xml:space="preserve"> increases the prothrombin time and partial thromboplastin time and</w:t>
      </w:r>
      <w:r w:rsidR="00C71AEF" w:rsidRPr="001B336C">
        <w:rPr>
          <w:rFonts w:cstheme="minorHAnsi"/>
          <w:sz w:val="24"/>
          <w:szCs w:val="24"/>
        </w:rPr>
        <w:t xml:space="preserve"> can thus </w:t>
      </w:r>
      <w:r w:rsidR="00742BAB" w:rsidRPr="001B336C">
        <w:rPr>
          <w:rFonts w:cstheme="minorHAnsi"/>
          <w:sz w:val="24"/>
          <w:szCs w:val="24"/>
        </w:rPr>
        <w:t>increase</w:t>
      </w:r>
      <w:r w:rsidRPr="001B336C">
        <w:rPr>
          <w:rFonts w:cstheme="minorHAnsi"/>
          <w:sz w:val="24"/>
          <w:szCs w:val="24"/>
        </w:rPr>
        <w:t xml:space="preserve"> bleeding risk.</w:t>
      </w:r>
      <w:r w:rsidR="00742BAB" w:rsidRPr="001B336C">
        <w:rPr>
          <w:rFonts w:cstheme="minorHAnsi"/>
          <w:sz w:val="24"/>
          <w:szCs w:val="24"/>
        </w:rPr>
        <w:t xml:space="preserve"> </w:t>
      </w:r>
      <w:r w:rsidR="00E21F25" w:rsidRPr="001B336C">
        <w:rPr>
          <w:rFonts w:cstheme="minorHAnsi"/>
          <w:sz w:val="24"/>
          <w:szCs w:val="24"/>
        </w:rPr>
        <w:t>It can cause gastrointestinal upset</w:t>
      </w:r>
      <w:r w:rsidR="00C71AEF" w:rsidRPr="001B336C">
        <w:rPr>
          <w:rFonts w:cstheme="minorHAnsi"/>
          <w:sz w:val="24"/>
          <w:szCs w:val="24"/>
        </w:rPr>
        <w:t>. S</w:t>
      </w:r>
      <w:r w:rsidR="00E21F25" w:rsidRPr="001B336C">
        <w:rPr>
          <w:rFonts w:cstheme="minorHAnsi"/>
          <w:sz w:val="24"/>
          <w:szCs w:val="24"/>
        </w:rPr>
        <w:t>evere allergic reactions can occur.</w:t>
      </w:r>
      <w:r w:rsidR="008F2C05" w:rsidRPr="001B336C">
        <w:rPr>
          <w:rStyle w:val="EndnoteReference"/>
          <w:rFonts w:cstheme="minorHAnsi"/>
          <w:sz w:val="24"/>
          <w:szCs w:val="24"/>
        </w:rPr>
        <w:endnoteReference w:id="21"/>
      </w:r>
      <w:r w:rsidR="00742BAB" w:rsidRPr="001B336C">
        <w:rPr>
          <w:rFonts w:cstheme="minorHAnsi"/>
          <w:sz w:val="24"/>
          <w:szCs w:val="24"/>
        </w:rPr>
        <w:t xml:space="preserve"> </w:t>
      </w:r>
      <w:r w:rsidR="000E21D1" w:rsidRPr="001B336C">
        <w:rPr>
          <w:rFonts w:cstheme="minorHAnsi"/>
          <w:sz w:val="24"/>
          <w:szCs w:val="24"/>
        </w:rPr>
        <w:lastRenderedPageBreak/>
        <w:t xml:space="preserve">[21] </w:t>
      </w:r>
      <w:r w:rsidRPr="001B336C">
        <w:rPr>
          <w:rFonts w:cstheme="minorHAnsi"/>
          <w:sz w:val="24"/>
          <w:szCs w:val="24"/>
        </w:rPr>
        <w:t>Bromelain may increase the absorption of medications—including antibiotics (such as tetracycline and amoxicillin)</w:t>
      </w:r>
      <w:r w:rsidR="00E21F25" w:rsidRPr="001B336C">
        <w:rPr>
          <w:rFonts w:cstheme="minorHAnsi"/>
          <w:sz w:val="24"/>
          <w:szCs w:val="24"/>
        </w:rPr>
        <w:t xml:space="preserve">, </w:t>
      </w:r>
      <w:r w:rsidRPr="001B336C">
        <w:rPr>
          <w:rFonts w:cstheme="minorHAnsi"/>
          <w:sz w:val="24"/>
          <w:szCs w:val="24"/>
        </w:rPr>
        <w:t>chemothera</w:t>
      </w:r>
      <w:r w:rsidR="00E21F25" w:rsidRPr="001B336C">
        <w:rPr>
          <w:rFonts w:cstheme="minorHAnsi"/>
          <w:sz w:val="24"/>
          <w:szCs w:val="24"/>
        </w:rPr>
        <w:t>peutic agents</w:t>
      </w:r>
      <w:r w:rsidRPr="001B336C">
        <w:rPr>
          <w:rFonts w:cstheme="minorHAnsi"/>
          <w:sz w:val="24"/>
          <w:szCs w:val="24"/>
        </w:rPr>
        <w:t xml:space="preserve"> (such as 5-fluorouracil and vincristine)</w:t>
      </w:r>
      <w:r w:rsidR="00E21F25" w:rsidRPr="001B336C">
        <w:rPr>
          <w:rFonts w:cstheme="minorHAnsi"/>
          <w:sz w:val="24"/>
          <w:szCs w:val="24"/>
        </w:rPr>
        <w:t>,</w:t>
      </w:r>
      <w:r w:rsidRPr="001B336C">
        <w:rPr>
          <w:rFonts w:cstheme="minorHAnsi"/>
          <w:sz w:val="24"/>
          <w:szCs w:val="24"/>
        </w:rPr>
        <w:t xml:space="preserve"> ACE inhibitors</w:t>
      </w:r>
      <w:r w:rsidR="00C71AEF" w:rsidRPr="001B336C">
        <w:rPr>
          <w:rFonts w:cstheme="minorHAnsi"/>
          <w:sz w:val="24"/>
          <w:szCs w:val="24"/>
        </w:rPr>
        <w:t xml:space="preserve"> (</w:t>
      </w:r>
      <w:r w:rsidRPr="001B336C">
        <w:rPr>
          <w:rFonts w:cstheme="minorHAnsi"/>
          <w:sz w:val="24"/>
          <w:szCs w:val="24"/>
        </w:rPr>
        <w:t>such as captopril and lisinopril</w:t>
      </w:r>
      <w:r w:rsidR="00C71AEF" w:rsidRPr="001B336C">
        <w:rPr>
          <w:rFonts w:cstheme="minorHAnsi"/>
          <w:sz w:val="24"/>
          <w:szCs w:val="24"/>
        </w:rPr>
        <w:t>)</w:t>
      </w:r>
      <w:r w:rsidR="00E21F25" w:rsidRPr="001B336C">
        <w:rPr>
          <w:rFonts w:cstheme="minorHAnsi"/>
          <w:sz w:val="24"/>
          <w:szCs w:val="24"/>
        </w:rPr>
        <w:t>,</w:t>
      </w:r>
      <w:r w:rsidRPr="001B336C">
        <w:rPr>
          <w:rFonts w:cstheme="minorHAnsi"/>
          <w:sz w:val="24"/>
          <w:szCs w:val="24"/>
        </w:rPr>
        <w:t xml:space="preserve"> benzodiazepines</w:t>
      </w:r>
      <w:r w:rsidR="00E21F25" w:rsidRPr="001B336C">
        <w:rPr>
          <w:rFonts w:cstheme="minorHAnsi"/>
          <w:sz w:val="24"/>
          <w:szCs w:val="24"/>
        </w:rPr>
        <w:t>,</w:t>
      </w:r>
      <w:r w:rsidRPr="001B336C">
        <w:rPr>
          <w:rFonts w:cstheme="minorHAnsi"/>
          <w:sz w:val="24"/>
          <w:szCs w:val="24"/>
        </w:rPr>
        <w:t xml:space="preserve"> certain antidepressants</w:t>
      </w:r>
      <w:r w:rsidR="00E21F25" w:rsidRPr="001B336C">
        <w:rPr>
          <w:rFonts w:cstheme="minorHAnsi"/>
          <w:sz w:val="24"/>
          <w:szCs w:val="24"/>
        </w:rPr>
        <w:t>,</w:t>
      </w:r>
      <w:r w:rsidRPr="001B336C">
        <w:rPr>
          <w:rFonts w:cstheme="minorHAnsi"/>
          <w:sz w:val="24"/>
          <w:szCs w:val="24"/>
        </w:rPr>
        <w:t xml:space="preserve"> opioids</w:t>
      </w:r>
      <w:r w:rsidR="00E21F25" w:rsidRPr="001B336C">
        <w:rPr>
          <w:rFonts w:cstheme="minorHAnsi"/>
          <w:sz w:val="24"/>
          <w:szCs w:val="24"/>
        </w:rPr>
        <w:t>,</w:t>
      </w:r>
      <w:r w:rsidRPr="001B336C">
        <w:rPr>
          <w:rFonts w:cstheme="minorHAnsi"/>
          <w:sz w:val="24"/>
          <w:szCs w:val="24"/>
        </w:rPr>
        <w:t xml:space="preserve"> and barbiturates</w:t>
      </w:r>
      <w:r w:rsidR="0065647F" w:rsidRPr="001B336C">
        <w:rPr>
          <w:rFonts w:cstheme="minorHAnsi"/>
          <w:sz w:val="24"/>
          <w:szCs w:val="24"/>
        </w:rPr>
        <w:t>.</w:t>
      </w:r>
      <w:r w:rsidR="00742BAB" w:rsidRPr="001B336C">
        <w:rPr>
          <w:rFonts w:cstheme="minorHAnsi"/>
          <w:sz w:val="24"/>
          <w:szCs w:val="24"/>
        </w:rPr>
        <w:t xml:space="preserve"> </w:t>
      </w:r>
      <w:r w:rsidR="0065647F" w:rsidRPr="001B336C">
        <w:rPr>
          <w:rFonts w:cstheme="minorHAnsi"/>
          <w:sz w:val="24"/>
          <w:szCs w:val="24"/>
        </w:rPr>
        <w:t>Physician supervision is advised.</w:t>
      </w:r>
      <w:r w:rsidR="00742BAB" w:rsidRPr="001B336C">
        <w:rPr>
          <w:rFonts w:cstheme="minorHAnsi"/>
          <w:sz w:val="24"/>
          <w:szCs w:val="24"/>
        </w:rPr>
        <w:t xml:space="preserve"> </w:t>
      </w:r>
      <w:r w:rsidRPr="001B336C">
        <w:rPr>
          <w:rFonts w:cstheme="minorHAnsi"/>
          <w:sz w:val="24"/>
          <w:szCs w:val="24"/>
        </w:rPr>
        <w:t>A</w:t>
      </w:r>
      <w:r w:rsidR="00A00D20" w:rsidRPr="001B336C">
        <w:rPr>
          <w:rFonts w:cstheme="minorHAnsi"/>
          <w:sz w:val="24"/>
          <w:szCs w:val="24"/>
        </w:rPr>
        <w:t xml:space="preserve"> standard dose of bromelain for human use is 500 mg orally per day.</w:t>
      </w:r>
    </w:p>
    <w:p w14:paraId="70BFAA49" w14:textId="77777777" w:rsidR="00A00D20" w:rsidRPr="001B336C" w:rsidRDefault="00A00D20" w:rsidP="003E2D4F">
      <w:pPr>
        <w:spacing w:after="0"/>
        <w:rPr>
          <w:rFonts w:cstheme="minorHAnsi"/>
          <w:sz w:val="24"/>
          <w:szCs w:val="24"/>
        </w:rPr>
      </w:pPr>
    </w:p>
    <w:p w14:paraId="5A123C10" w14:textId="30347796" w:rsidR="00A00D20" w:rsidRPr="001B336C" w:rsidRDefault="00B065F0" w:rsidP="003E2D4F">
      <w:pPr>
        <w:spacing w:after="0"/>
        <w:rPr>
          <w:rFonts w:cstheme="minorHAnsi"/>
          <w:b/>
          <w:bCs/>
          <w:sz w:val="24"/>
          <w:szCs w:val="24"/>
        </w:rPr>
      </w:pPr>
      <w:r w:rsidRPr="001B336C">
        <w:rPr>
          <w:rFonts w:cstheme="minorHAnsi"/>
          <w:b/>
          <w:bCs/>
          <w:sz w:val="24"/>
          <w:szCs w:val="24"/>
        </w:rPr>
        <w:t xml:space="preserve">Inhibition of Spike and </w:t>
      </w:r>
      <w:r w:rsidR="00C71AEF" w:rsidRPr="001B336C">
        <w:rPr>
          <w:rFonts w:cstheme="minorHAnsi"/>
          <w:b/>
          <w:bCs/>
          <w:sz w:val="24"/>
          <w:szCs w:val="24"/>
        </w:rPr>
        <w:t>I</w:t>
      </w:r>
      <w:r w:rsidRPr="001B336C">
        <w:rPr>
          <w:rFonts w:cstheme="minorHAnsi"/>
          <w:b/>
          <w:bCs/>
          <w:sz w:val="24"/>
          <w:szCs w:val="24"/>
        </w:rPr>
        <w:t>ts Fragments in Tissues</w:t>
      </w:r>
    </w:p>
    <w:p w14:paraId="11B315BB" w14:textId="77777777" w:rsidR="00C71AEF" w:rsidRPr="001B336C" w:rsidRDefault="00C71AEF" w:rsidP="003E2D4F">
      <w:pPr>
        <w:spacing w:after="0"/>
        <w:rPr>
          <w:rFonts w:cstheme="minorHAnsi"/>
          <w:b/>
          <w:bCs/>
          <w:sz w:val="24"/>
          <w:szCs w:val="24"/>
        </w:rPr>
      </w:pPr>
    </w:p>
    <w:p w14:paraId="328AC41D" w14:textId="70F05BD9" w:rsidR="00B065F0" w:rsidRPr="001B336C" w:rsidRDefault="00797BAA" w:rsidP="003E2D4F">
      <w:pPr>
        <w:spacing w:after="0"/>
        <w:rPr>
          <w:rFonts w:cstheme="minorHAnsi"/>
          <w:b/>
          <w:bCs/>
          <w:sz w:val="24"/>
          <w:szCs w:val="24"/>
          <w:u w:val="single"/>
        </w:rPr>
      </w:pPr>
      <w:r w:rsidRPr="001B336C">
        <w:rPr>
          <w:rFonts w:cstheme="minorHAnsi"/>
          <w:b/>
          <w:bCs/>
          <w:sz w:val="24"/>
          <w:szCs w:val="24"/>
          <w:u w:val="single"/>
        </w:rPr>
        <w:t>Curcumin</w:t>
      </w:r>
    </w:p>
    <w:p w14:paraId="25AFCA1D" w14:textId="2C0E6CAB" w:rsidR="002D681B" w:rsidRPr="001B336C" w:rsidRDefault="005F6EB3" w:rsidP="00742BAB">
      <w:pPr>
        <w:spacing w:after="0"/>
        <w:ind w:firstLine="720"/>
        <w:rPr>
          <w:rFonts w:cstheme="minorHAnsi"/>
          <w:b/>
          <w:bCs/>
          <w:sz w:val="24"/>
          <w:szCs w:val="24"/>
        </w:rPr>
      </w:pPr>
      <w:r w:rsidRPr="001B336C">
        <w:rPr>
          <w:rFonts w:cstheme="minorHAnsi"/>
          <w:sz w:val="24"/>
          <w:szCs w:val="24"/>
        </w:rPr>
        <w:t>Curcumin (diferuloylmethane) is</w:t>
      </w:r>
      <w:r w:rsidR="00D54E91" w:rsidRPr="001B336C">
        <w:rPr>
          <w:rFonts w:cstheme="minorHAnsi"/>
          <w:sz w:val="24"/>
          <w:szCs w:val="24"/>
        </w:rPr>
        <w:t xml:space="preserve"> derived from </w:t>
      </w:r>
      <w:r w:rsidRPr="001B336C">
        <w:rPr>
          <w:rFonts w:cstheme="minorHAnsi"/>
          <w:sz w:val="24"/>
          <w:szCs w:val="24"/>
        </w:rPr>
        <w:t>turmeric (</w:t>
      </w:r>
      <w:r w:rsidRPr="001B336C">
        <w:rPr>
          <w:rFonts w:cstheme="minorHAnsi"/>
          <w:i/>
          <w:iCs/>
          <w:sz w:val="24"/>
          <w:szCs w:val="24"/>
        </w:rPr>
        <w:t>Curcuma longa</w:t>
      </w:r>
      <w:r w:rsidRPr="001B336C">
        <w:rPr>
          <w:rFonts w:cstheme="minorHAnsi"/>
          <w:sz w:val="24"/>
          <w:szCs w:val="24"/>
        </w:rPr>
        <w:t>), a member of the ginger family of plants. Curcumin</w:t>
      </w:r>
      <w:r w:rsidR="00D54E91" w:rsidRPr="001B336C">
        <w:rPr>
          <w:rFonts w:cstheme="minorHAnsi"/>
          <w:sz w:val="24"/>
          <w:szCs w:val="24"/>
        </w:rPr>
        <w:t xml:space="preserve"> is a polyphenol and</w:t>
      </w:r>
      <w:r w:rsidRPr="001B336C">
        <w:rPr>
          <w:rFonts w:cstheme="minorHAnsi"/>
          <w:sz w:val="24"/>
          <w:szCs w:val="24"/>
        </w:rPr>
        <w:t xml:space="preserve"> modulates inflammation </w:t>
      </w:r>
      <w:r w:rsidR="002D681B" w:rsidRPr="001B336C">
        <w:rPr>
          <w:rFonts w:cstheme="minorHAnsi"/>
          <w:sz w:val="24"/>
          <w:szCs w:val="24"/>
        </w:rPr>
        <w:t xml:space="preserve">in the setting of viral infections </w:t>
      </w:r>
      <w:r w:rsidR="00D54E91" w:rsidRPr="001B336C">
        <w:rPr>
          <w:rFonts w:cstheme="minorHAnsi"/>
          <w:sz w:val="24"/>
          <w:szCs w:val="24"/>
        </w:rPr>
        <w:t xml:space="preserve">via inhibition of </w:t>
      </w:r>
      <w:r w:rsidRPr="001B336C">
        <w:rPr>
          <w:rFonts w:cstheme="minorHAnsi"/>
          <w:sz w:val="24"/>
          <w:szCs w:val="24"/>
        </w:rPr>
        <w:t>cytokine</w:t>
      </w:r>
      <w:r w:rsidR="00D54E91" w:rsidRPr="001B336C">
        <w:rPr>
          <w:rFonts w:cstheme="minorHAnsi"/>
          <w:sz w:val="24"/>
          <w:szCs w:val="24"/>
        </w:rPr>
        <w:t>s</w:t>
      </w:r>
      <w:r w:rsidRPr="001B336C">
        <w:rPr>
          <w:rFonts w:cstheme="minorHAnsi"/>
          <w:sz w:val="24"/>
          <w:szCs w:val="24"/>
        </w:rPr>
        <w:t xml:space="preserve"> </w:t>
      </w:r>
      <w:r w:rsidR="00D54E91" w:rsidRPr="001B336C">
        <w:rPr>
          <w:rFonts w:cstheme="minorHAnsi"/>
          <w:sz w:val="24"/>
          <w:szCs w:val="24"/>
        </w:rPr>
        <w:t xml:space="preserve">through </w:t>
      </w:r>
      <w:r w:rsidRPr="001B336C">
        <w:rPr>
          <w:rFonts w:cstheme="minorHAnsi"/>
          <w:sz w:val="24"/>
          <w:szCs w:val="24"/>
        </w:rPr>
        <w:t>multiple transcription factors</w:t>
      </w:r>
      <w:r w:rsidR="001E104F" w:rsidRPr="001B336C">
        <w:rPr>
          <w:rFonts w:cstheme="minorHAnsi"/>
          <w:sz w:val="24"/>
          <w:szCs w:val="24"/>
        </w:rPr>
        <w:t>.</w:t>
      </w:r>
      <w:r w:rsidRPr="001B336C">
        <w:rPr>
          <w:rFonts w:cstheme="minorHAnsi"/>
          <w:sz w:val="24"/>
          <w:szCs w:val="24"/>
        </w:rPr>
        <w:t xml:space="preserve"> Additionally, curcumin inhibits </w:t>
      </w:r>
      <w:r w:rsidR="002D681B" w:rsidRPr="001B336C">
        <w:rPr>
          <w:rFonts w:cstheme="minorHAnsi"/>
          <w:sz w:val="24"/>
          <w:szCs w:val="24"/>
        </w:rPr>
        <w:t>angiotensin converting enzyme (</w:t>
      </w:r>
      <w:r w:rsidRPr="001B336C">
        <w:rPr>
          <w:rFonts w:cstheme="minorHAnsi"/>
          <w:sz w:val="24"/>
          <w:szCs w:val="24"/>
        </w:rPr>
        <w:t>ACE</w:t>
      </w:r>
      <w:r w:rsidR="002D681B" w:rsidRPr="001B336C">
        <w:rPr>
          <w:rFonts w:cstheme="minorHAnsi"/>
          <w:sz w:val="24"/>
          <w:szCs w:val="24"/>
        </w:rPr>
        <w:t>),</w:t>
      </w:r>
      <w:r w:rsidRPr="001B336C">
        <w:rPr>
          <w:rFonts w:cstheme="minorHAnsi"/>
          <w:sz w:val="24"/>
          <w:szCs w:val="24"/>
        </w:rPr>
        <w:t xml:space="preserve"> modulating angiotensin II synthesis</w:t>
      </w:r>
      <w:r w:rsidR="002D681B" w:rsidRPr="001B336C">
        <w:rPr>
          <w:rFonts w:cstheme="minorHAnsi"/>
          <w:sz w:val="24"/>
          <w:szCs w:val="24"/>
        </w:rPr>
        <w:t>, and promotes fibrinolysis and the anticoagulation process</w:t>
      </w:r>
      <w:r w:rsidR="0038670E" w:rsidRPr="001B336C">
        <w:rPr>
          <w:rFonts w:cstheme="minorHAnsi"/>
          <w:sz w:val="24"/>
          <w:szCs w:val="24"/>
        </w:rPr>
        <w:t xml:space="preserve"> (see Figures 1 and 2)</w:t>
      </w:r>
      <w:r w:rsidR="002D681B" w:rsidRPr="001B336C">
        <w:rPr>
          <w:rFonts w:cstheme="minorHAnsi"/>
          <w:sz w:val="24"/>
          <w:szCs w:val="24"/>
        </w:rPr>
        <w:t xml:space="preserve">. </w:t>
      </w:r>
    </w:p>
    <w:p w14:paraId="7935CA5F" w14:textId="39DE0DA8" w:rsidR="00C71AEF" w:rsidRPr="001B336C" w:rsidRDefault="005F6EB3" w:rsidP="00742BAB">
      <w:pPr>
        <w:spacing w:after="0"/>
        <w:ind w:firstLine="720"/>
        <w:rPr>
          <w:rFonts w:cstheme="minorHAnsi"/>
          <w:sz w:val="24"/>
          <w:szCs w:val="24"/>
        </w:rPr>
      </w:pPr>
      <w:r w:rsidRPr="001B336C">
        <w:rPr>
          <w:rFonts w:cstheme="minorHAnsi"/>
          <w:sz w:val="24"/>
          <w:szCs w:val="24"/>
        </w:rPr>
        <w:t>The antiviral actions of curcumin against multiple viruses (influenza and hepatitis viruses, herpes viruses, human papilloma virus, human immunodeficiency virus, severe acute respiratory syndrome coronavirus and other coronaviruses), bacteria</w:t>
      </w:r>
      <w:r w:rsidR="00C71AEF" w:rsidRPr="001B336C">
        <w:rPr>
          <w:rFonts w:cstheme="minorHAnsi"/>
          <w:sz w:val="24"/>
          <w:szCs w:val="24"/>
        </w:rPr>
        <w:t>,</w:t>
      </w:r>
      <w:r w:rsidRPr="001B336C">
        <w:rPr>
          <w:rFonts w:cstheme="minorHAnsi"/>
          <w:sz w:val="24"/>
          <w:szCs w:val="24"/>
        </w:rPr>
        <w:t xml:space="preserve"> and fungi have been </w:t>
      </w:r>
      <w:r w:rsidR="008D54F4" w:rsidRPr="001B336C">
        <w:rPr>
          <w:rFonts w:cstheme="minorHAnsi"/>
          <w:sz w:val="24"/>
          <w:szCs w:val="24"/>
        </w:rPr>
        <w:t>suggested in prior mechanistic studies</w:t>
      </w:r>
      <w:r w:rsidRPr="001B336C">
        <w:rPr>
          <w:rFonts w:cstheme="minorHAnsi"/>
          <w:sz w:val="24"/>
          <w:szCs w:val="24"/>
        </w:rPr>
        <w:t>.</w:t>
      </w:r>
      <w:r w:rsidR="008D54F4" w:rsidRPr="001B336C">
        <w:rPr>
          <w:rStyle w:val="EndnoteReference"/>
          <w:rFonts w:cstheme="minorHAnsi"/>
          <w:sz w:val="24"/>
          <w:szCs w:val="24"/>
        </w:rPr>
        <w:endnoteReference w:id="22"/>
      </w:r>
      <w:r w:rsidRPr="001B336C">
        <w:rPr>
          <w:rFonts w:cstheme="minorHAnsi"/>
          <w:sz w:val="24"/>
          <w:szCs w:val="24"/>
        </w:rPr>
        <w:t xml:space="preserve"> </w:t>
      </w:r>
      <w:r w:rsidR="00DC3B54" w:rsidRPr="001B336C">
        <w:rPr>
          <w:rFonts w:cstheme="minorHAnsi"/>
          <w:sz w:val="24"/>
          <w:szCs w:val="24"/>
        </w:rPr>
        <w:t xml:space="preserve">[22] </w:t>
      </w:r>
      <w:r w:rsidR="00D54E91" w:rsidRPr="001B336C">
        <w:rPr>
          <w:rFonts w:cstheme="minorHAnsi"/>
          <w:sz w:val="24"/>
          <w:szCs w:val="24"/>
        </w:rPr>
        <w:t>I</w:t>
      </w:r>
      <w:r w:rsidRPr="001B336C">
        <w:rPr>
          <w:rFonts w:cstheme="minorHAnsi"/>
          <w:sz w:val="24"/>
          <w:szCs w:val="24"/>
        </w:rPr>
        <w:t>n silico studies ha</w:t>
      </w:r>
      <w:r w:rsidR="00D54E91" w:rsidRPr="001B336C">
        <w:rPr>
          <w:rFonts w:cstheme="minorHAnsi"/>
          <w:sz w:val="24"/>
          <w:szCs w:val="24"/>
        </w:rPr>
        <w:t>ve</w:t>
      </w:r>
      <w:r w:rsidRPr="001B336C">
        <w:rPr>
          <w:rFonts w:cstheme="minorHAnsi"/>
          <w:sz w:val="24"/>
          <w:szCs w:val="24"/>
        </w:rPr>
        <w:t xml:space="preserve"> demonstrated that curcumin prevents SARS-CoV-2 entry into cells by blocking the </w:t>
      </w:r>
      <w:r w:rsidR="000541B6" w:rsidRPr="001B336C">
        <w:rPr>
          <w:rFonts w:cstheme="minorHAnsi"/>
          <w:sz w:val="24"/>
          <w:szCs w:val="24"/>
        </w:rPr>
        <w:t>spike</w:t>
      </w:r>
      <w:r w:rsidR="00D54E91" w:rsidRPr="001B336C">
        <w:rPr>
          <w:rFonts w:cstheme="minorHAnsi"/>
          <w:sz w:val="24"/>
          <w:szCs w:val="24"/>
        </w:rPr>
        <w:t xml:space="preserve"> protein</w:t>
      </w:r>
      <w:r w:rsidRPr="001B336C">
        <w:rPr>
          <w:rFonts w:cstheme="minorHAnsi"/>
          <w:sz w:val="24"/>
          <w:szCs w:val="24"/>
        </w:rPr>
        <w:t xml:space="preserve"> binding sites and the cell ligands (ACE-2 receptors and </w:t>
      </w:r>
      <w:r w:rsidR="00D54E91" w:rsidRPr="001B336C">
        <w:rPr>
          <w:rFonts w:cstheme="minorHAnsi"/>
          <w:sz w:val="24"/>
          <w:szCs w:val="24"/>
        </w:rPr>
        <w:t>TMPRSS-2</w:t>
      </w:r>
      <w:r w:rsidRPr="001B336C">
        <w:rPr>
          <w:rFonts w:cstheme="minorHAnsi"/>
          <w:sz w:val="24"/>
          <w:szCs w:val="24"/>
        </w:rPr>
        <w:t>),</w:t>
      </w:r>
      <w:r w:rsidR="005D3BBC" w:rsidRPr="001B336C">
        <w:rPr>
          <w:rFonts w:cstheme="minorHAnsi"/>
          <w:sz w:val="24"/>
          <w:szCs w:val="24"/>
        </w:rPr>
        <w:t xml:space="preserve"> and by that mechanism reduc</w:t>
      </w:r>
      <w:r w:rsidR="00DC3B54" w:rsidRPr="001B336C">
        <w:rPr>
          <w:rFonts w:cstheme="minorHAnsi"/>
          <w:sz w:val="24"/>
          <w:szCs w:val="24"/>
        </w:rPr>
        <w:t>es</w:t>
      </w:r>
      <w:r w:rsidR="005D3BBC" w:rsidRPr="001B336C">
        <w:rPr>
          <w:rFonts w:cstheme="minorHAnsi"/>
          <w:sz w:val="24"/>
          <w:szCs w:val="24"/>
        </w:rPr>
        <w:t xml:space="preserve"> </w:t>
      </w:r>
      <w:r w:rsidRPr="001B336C">
        <w:rPr>
          <w:rFonts w:cstheme="minorHAnsi"/>
          <w:sz w:val="24"/>
          <w:szCs w:val="24"/>
        </w:rPr>
        <w:t>viral replicatio</w:t>
      </w:r>
      <w:r w:rsidR="00D54E91" w:rsidRPr="001B336C">
        <w:rPr>
          <w:rFonts w:cstheme="minorHAnsi"/>
          <w:sz w:val="24"/>
          <w:szCs w:val="24"/>
        </w:rPr>
        <w:t>n</w:t>
      </w:r>
      <w:r w:rsidRPr="001B336C">
        <w:rPr>
          <w:rFonts w:cstheme="minorHAnsi"/>
          <w:sz w:val="24"/>
          <w:szCs w:val="24"/>
        </w:rPr>
        <w:t>.</w:t>
      </w:r>
      <w:r w:rsidR="00D54E91" w:rsidRPr="001B336C">
        <w:rPr>
          <w:rStyle w:val="EndnoteReference"/>
          <w:rFonts w:cstheme="minorHAnsi"/>
          <w:sz w:val="24"/>
          <w:szCs w:val="24"/>
        </w:rPr>
        <w:endnoteReference w:id="23"/>
      </w:r>
      <w:r w:rsidR="00742BAB" w:rsidRPr="001B336C">
        <w:rPr>
          <w:rFonts w:cstheme="minorHAnsi"/>
          <w:sz w:val="24"/>
          <w:szCs w:val="24"/>
        </w:rPr>
        <w:t xml:space="preserve"> </w:t>
      </w:r>
      <w:r w:rsidR="00DC3B54" w:rsidRPr="001B336C">
        <w:rPr>
          <w:rFonts w:cstheme="minorHAnsi"/>
          <w:sz w:val="24"/>
          <w:szCs w:val="24"/>
        </w:rPr>
        <w:t>[23]</w:t>
      </w:r>
    </w:p>
    <w:p w14:paraId="245C13F0" w14:textId="7084B67D" w:rsidR="00C0686C" w:rsidRPr="001B336C" w:rsidRDefault="00C71AEF" w:rsidP="00742BAB">
      <w:pPr>
        <w:spacing w:after="0"/>
        <w:ind w:firstLine="720"/>
        <w:rPr>
          <w:rFonts w:cstheme="minorHAnsi"/>
          <w:sz w:val="24"/>
          <w:szCs w:val="24"/>
        </w:rPr>
      </w:pPr>
      <w:r w:rsidRPr="001B336C">
        <w:rPr>
          <w:rFonts w:cstheme="minorHAnsi"/>
          <w:sz w:val="24"/>
          <w:szCs w:val="24"/>
        </w:rPr>
        <w:t>T</w:t>
      </w:r>
      <w:r w:rsidR="005F6EB3" w:rsidRPr="001B336C">
        <w:rPr>
          <w:rFonts w:cstheme="minorHAnsi"/>
          <w:sz w:val="24"/>
          <w:szCs w:val="24"/>
        </w:rPr>
        <w:t xml:space="preserve">he minimal absorption of curcumin following oral administration </w:t>
      </w:r>
      <w:r w:rsidR="00CC0D85" w:rsidRPr="001B336C">
        <w:rPr>
          <w:rFonts w:cstheme="minorHAnsi"/>
          <w:sz w:val="24"/>
          <w:szCs w:val="24"/>
        </w:rPr>
        <w:t>has been overcome with nanoparticle technology.</w:t>
      </w:r>
      <w:r w:rsidR="00742BAB" w:rsidRPr="001B336C">
        <w:rPr>
          <w:rFonts w:cstheme="minorHAnsi"/>
          <w:sz w:val="24"/>
          <w:szCs w:val="24"/>
        </w:rPr>
        <w:t xml:space="preserve"> </w:t>
      </w:r>
      <w:r w:rsidR="00CC0D85" w:rsidRPr="001B336C">
        <w:rPr>
          <w:rFonts w:cstheme="minorHAnsi"/>
          <w:sz w:val="24"/>
          <w:szCs w:val="24"/>
        </w:rPr>
        <w:t xml:space="preserve">Randomized trials have consistently showed reductions in hs-CRP and other inflammatory markers in the setting of </w:t>
      </w:r>
      <w:r w:rsidR="000541B6" w:rsidRPr="001B336C">
        <w:rPr>
          <w:rFonts w:cstheme="minorHAnsi"/>
          <w:sz w:val="24"/>
          <w:szCs w:val="24"/>
        </w:rPr>
        <w:t>spike</w:t>
      </w:r>
      <w:r w:rsidR="00CC0D85" w:rsidRPr="001B336C">
        <w:rPr>
          <w:rFonts w:cstheme="minorHAnsi"/>
          <w:sz w:val="24"/>
          <w:szCs w:val="24"/>
        </w:rPr>
        <w:t xml:space="preserve"> protein mediated infection/injury.</w:t>
      </w:r>
      <w:r w:rsidR="00CC0D85" w:rsidRPr="001B336C">
        <w:rPr>
          <w:rStyle w:val="EndnoteReference"/>
          <w:rFonts w:cstheme="minorHAnsi"/>
          <w:sz w:val="24"/>
          <w:szCs w:val="24"/>
        </w:rPr>
        <w:endnoteReference w:id="24"/>
      </w:r>
      <w:r w:rsidR="00CC0D85" w:rsidRPr="001B336C">
        <w:rPr>
          <w:rFonts w:cstheme="minorHAnsi"/>
          <w:sz w:val="24"/>
          <w:szCs w:val="24"/>
        </w:rPr>
        <w:t xml:space="preserve"> </w:t>
      </w:r>
      <w:r w:rsidR="004A159D" w:rsidRPr="001B336C">
        <w:rPr>
          <w:rStyle w:val="EndnoteReference"/>
          <w:rFonts w:cstheme="minorHAnsi"/>
          <w:sz w:val="24"/>
          <w:szCs w:val="24"/>
        </w:rPr>
        <w:endnoteReference w:id="25"/>
      </w:r>
      <w:r w:rsidR="00742BAB" w:rsidRPr="001B336C">
        <w:rPr>
          <w:rFonts w:cstheme="minorHAnsi"/>
          <w:sz w:val="24"/>
          <w:szCs w:val="24"/>
        </w:rPr>
        <w:t xml:space="preserve"> </w:t>
      </w:r>
      <w:r w:rsidR="00DC3B54" w:rsidRPr="001B336C">
        <w:rPr>
          <w:rFonts w:cstheme="minorHAnsi"/>
          <w:sz w:val="24"/>
          <w:szCs w:val="24"/>
        </w:rPr>
        <w:t xml:space="preserve">[24,25] </w:t>
      </w:r>
      <w:r w:rsidR="00802BC5" w:rsidRPr="001B336C">
        <w:rPr>
          <w:rFonts w:cstheme="minorHAnsi"/>
          <w:sz w:val="24"/>
          <w:szCs w:val="24"/>
        </w:rPr>
        <w:t xml:space="preserve">The World Health Organization </w:t>
      </w:r>
      <w:r w:rsidR="00DC3B54" w:rsidRPr="001B336C">
        <w:rPr>
          <w:rFonts w:cstheme="minorHAnsi"/>
          <w:sz w:val="24"/>
          <w:szCs w:val="24"/>
        </w:rPr>
        <w:t xml:space="preserve">(WHO) </w:t>
      </w:r>
      <w:r w:rsidR="00802BC5" w:rsidRPr="001B336C">
        <w:rPr>
          <w:rFonts w:cstheme="minorHAnsi"/>
          <w:sz w:val="24"/>
          <w:szCs w:val="24"/>
        </w:rPr>
        <w:t xml:space="preserve">has determined 0–3 mg per kilogram of body weight </w:t>
      </w:r>
      <w:r w:rsidRPr="001B336C">
        <w:rPr>
          <w:rFonts w:cstheme="minorHAnsi"/>
          <w:sz w:val="24"/>
          <w:szCs w:val="24"/>
        </w:rPr>
        <w:t xml:space="preserve">to be </w:t>
      </w:r>
      <w:r w:rsidR="00802BC5" w:rsidRPr="001B336C">
        <w:rPr>
          <w:rFonts w:cstheme="minorHAnsi"/>
          <w:sz w:val="24"/>
          <w:szCs w:val="24"/>
        </w:rPr>
        <w:t>an acceptable daily</w:t>
      </w:r>
      <w:r w:rsidR="001D446C" w:rsidRPr="001B336C">
        <w:rPr>
          <w:rFonts w:cstheme="minorHAnsi"/>
          <w:sz w:val="24"/>
          <w:szCs w:val="24"/>
        </w:rPr>
        <w:t xml:space="preserve"> dietary</w:t>
      </w:r>
      <w:r w:rsidR="00802BC5" w:rsidRPr="001B336C">
        <w:rPr>
          <w:rFonts w:cstheme="minorHAnsi"/>
          <w:sz w:val="24"/>
          <w:szCs w:val="24"/>
        </w:rPr>
        <w:t xml:space="preserve"> intake</w:t>
      </w:r>
      <w:r w:rsidRPr="001B336C">
        <w:rPr>
          <w:rFonts w:cstheme="minorHAnsi"/>
          <w:sz w:val="24"/>
          <w:szCs w:val="24"/>
        </w:rPr>
        <w:t xml:space="preserve">, about </w:t>
      </w:r>
      <w:r w:rsidR="00802BC5" w:rsidRPr="001B336C">
        <w:rPr>
          <w:rFonts w:cstheme="minorHAnsi"/>
          <w:sz w:val="24"/>
          <w:szCs w:val="24"/>
        </w:rPr>
        <w:t>250 mg.</w:t>
      </w:r>
      <w:r w:rsidR="00742BAB" w:rsidRPr="001B336C">
        <w:rPr>
          <w:rFonts w:cstheme="minorHAnsi"/>
          <w:sz w:val="24"/>
          <w:szCs w:val="24"/>
        </w:rPr>
        <w:t xml:space="preserve"> </w:t>
      </w:r>
      <w:r w:rsidR="00362FD5" w:rsidRPr="001B336C">
        <w:rPr>
          <w:rFonts w:cstheme="minorHAnsi"/>
          <w:sz w:val="24"/>
          <w:szCs w:val="24"/>
        </w:rPr>
        <w:t>At higher therapeutic doses there can be gastrointestinal adverse events including peptic ulcer disease.</w:t>
      </w:r>
      <w:r w:rsidR="00742BAB" w:rsidRPr="001B336C">
        <w:rPr>
          <w:rFonts w:cstheme="minorHAnsi"/>
          <w:sz w:val="24"/>
          <w:szCs w:val="24"/>
        </w:rPr>
        <w:t xml:space="preserve"> </w:t>
      </w:r>
      <w:r w:rsidR="004A159D" w:rsidRPr="001B336C">
        <w:rPr>
          <w:rFonts w:cstheme="minorHAnsi"/>
          <w:sz w:val="24"/>
          <w:szCs w:val="24"/>
        </w:rPr>
        <w:t>Nano</w:t>
      </w:r>
      <w:r w:rsidR="008D3F3D" w:rsidRPr="001B336C">
        <w:rPr>
          <w:rFonts w:cstheme="minorHAnsi"/>
          <w:sz w:val="24"/>
          <w:szCs w:val="24"/>
        </w:rPr>
        <w:t xml:space="preserve"> or liposomal</w:t>
      </w:r>
      <w:r w:rsidR="004A159D" w:rsidRPr="001B336C">
        <w:rPr>
          <w:rFonts w:cstheme="minorHAnsi"/>
          <w:sz w:val="24"/>
          <w:szCs w:val="24"/>
        </w:rPr>
        <w:t xml:space="preserve"> curcumin is available as an oral supplement</w:t>
      </w:r>
      <w:r w:rsidR="008D3F3D" w:rsidRPr="001B336C">
        <w:rPr>
          <w:rFonts w:cstheme="minorHAnsi"/>
          <w:sz w:val="24"/>
          <w:szCs w:val="24"/>
        </w:rPr>
        <w:t xml:space="preserve"> with better absorption</w:t>
      </w:r>
      <w:r w:rsidR="004A159D" w:rsidRPr="001B336C">
        <w:rPr>
          <w:rFonts w:cstheme="minorHAnsi"/>
          <w:sz w:val="24"/>
          <w:szCs w:val="24"/>
        </w:rPr>
        <w:t xml:space="preserve"> dosed at 500 mg twice a day</w:t>
      </w:r>
      <w:r w:rsidR="001D446C" w:rsidRPr="001B336C">
        <w:rPr>
          <w:rFonts w:cstheme="minorHAnsi"/>
          <w:sz w:val="24"/>
          <w:szCs w:val="24"/>
        </w:rPr>
        <w:t xml:space="preserve"> and has been shown to be safe without liver or serious gastrointestinal toxicity.</w:t>
      </w:r>
      <w:r w:rsidR="001D446C" w:rsidRPr="001B336C">
        <w:rPr>
          <w:rStyle w:val="EndnoteReference"/>
          <w:rFonts w:cstheme="minorHAnsi"/>
          <w:sz w:val="24"/>
          <w:szCs w:val="24"/>
        </w:rPr>
        <w:endnoteReference w:id="26"/>
      </w:r>
      <w:r w:rsidR="00742BAB" w:rsidRPr="001B336C">
        <w:rPr>
          <w:rFonts w:cstheme="minorHAnsi"/>
          <w:sz w:val="24"/>
          <w:szCs w:val="24"/>
        </w:rPr>
        <w:t xml:space="preserve"> </w:t>
      </w:r>
      <w:r w:rsidR="00DC3B54" w:rsidRPr="001B336C">
        <w:rPr>
          <w:rFonts w:cstheme="minorHAnsi"/>
          <w:sz w:val="24"/>
          <w:szCs w:val="24"/>
        </w:rPr>
        <w:t xml:space="preserve">[26] </w:t>
      </w:r>
      <w:r w:rsidR="0051558F" w:rsidRPr="001B336C">
        <w:rPr>
          <w:rFonts w:cstheme="minorHAnsi"/>
          <w:sz w:val="24"/>
          <w:szCs w:val="24"/>
        </w:rPr>
        <w:t>Alternatively</w:t>
      </w:r>
      <w:r w:rsidRPr="001B336C">
        <w:rPr>
          <w:rFonts w:cstheme="minorHAnsi"/>
          <w:sz w:val="24"/>
          <w:szCs w:val="24"/>
        </w:rPr>
        <w:t>,</w:t>
      </w:r>
      <w:r w:rsidR="0051558F" w:rsidRPr="001B336C">
        <w:rPr>
          <w:rFonts w:cstheme="minorHAnsi"/>
          <w:sz w:val="24"/>
          <w:szCs w:val="24"/>
        </w:rPr>
        <w:t xml:space="preserve"> curcumin can be combined with </w:t>
      </w:r>
      <w:proofErr w:type="spellStart"/>
      <w:r w:rsidR="0051558F" w:rsidRPr="001B336C">
        <w:rPr>
          <w:rFonts w:cstheme="minorHAnsi"/>
          <w:sz w:val="24"/>
          <w:szCs w:val="24"/>
        </w:rPr>
        <w:t>piperine</w:t>
      </w:r>
      <w:proofErr w:type="spellEnd"/>
      <w:r w:rsidR="00B746CD" w:rsidRPr="001B336C">
        <w:rPr>
          <w:rFonts w:cstheme="minorHAnsi"/>
          <w:sz w:val="24"/>
          <w:szCs w:val="24"/>
        </w:rPr>
        <w:t xml:space="preserve"> (black pepper extract)</w:t>
      </w:r>
      <w:r w:rsidR="00DC3B54" w:rsidRPr="001B336C">
        <w:rPr>
          <w:rFonts w:cstheme="minorHAnsi"/>
          <w:sz w:val="24"/>
          <w:szCs w:val="24"/>
        </w:rPr>
        <w:t xml:space="preserve">, at about </w:t>
      </w:r>
      <w:r w:rsidR="00B746CD" w:rsidRPr="001B336C">
        <w:rPr>
          <w:rFonts w:cstheme="minorHAnsi"/>
          <w:sz w:val="24"/>
          <w:szCs w:val="24"/>
        </w:rPr>
        <w:t>10 mg/1000 mg</w:t>
      </w:r>
      <w:r w:rsidR="00DC3B54" w:rsidRPr="001B336C">
        <w:rPr>
          <w:rFonts w:cstheme="minorHAnsi"/>
          <w:sz w:val="24"/>
          <w:szCs w:val="24"/>
        </w:rPr>
        <w:t>,</w:t>
      </w:r>
      <w:r w:rsidR="00B746CD" w:rsidRPr="001B336C">
        <w:rPr>
          <w:rFonts w:cstheme="minorHAnsi"/>
          <w:sz w:val="24"/>
          <w:szCs w:val="24"/>
        </w:rPr>
        <w:t xml:space="preserve"> to significantly increase absorption.</w:t>
      </w:r>
      <w:r w:rsidR="00742BAB" w:rsidRPr="001B336C">
        <w:rPr>
          <w:rFonts w:cstheme="minorHAnsi"/>
          <w:sz w:val="24"/>
          <w:szCs w:val="24"/>
        </w:rPr>
        <w:t xml:space="preserve"> </w:t>
      </w:r>
      <w:r w:rsidR="00C0686C" w:rsidRPr="001B336C">
        <w:rPr>
          <w:rFonts w:cstheme="minorHAnsi"/>
          <w:sz w:val="24"/>
          <w:szCs w:val="24"/>
        </w:rPr>
        <w:t>There are, however, published studies showing</w:t>
      </w:r>
      <w:r w:rsidR="00D1397C" w:rsidRPr="001B336C">
        <w:rPr>
          <w:rFonts w:cstheme="minorHAnsi"/>
          <w:sz w:val="24"/>
          <w:szCs w:val="24"/>
        </w:rPr>
        <w:t xml:space="preserve"> that </w:t>
      </w:r>
      <w:r w:rsidR="00C0686C" w:rsidRPr="001B336C">
        <w:rPr>
          <w:rFonts w:cstheme="minorHAnsi"/>
          <w:sz w:val="24"/>
          <w:szCs w:val="24"/>
        </w:rPr>
        <w:t>curcumin supplements decrease effectiveness of prescription hormones thyroid and estradiol, so patient</w:t>
      </w:r>
      <w:r w:rsidR="006C6858" w:rsidRPr="001B336C">
        <w:rPr>
          <w:rFonts w:cstheme="minorHAnsi"/>
          <w:sz w:val="24"/>
          <w:szCs w:val="24"/>
        </w:rPr>
        <w:t>s</w:t>
      </w:r>
      <w:r w:rsidR="00C0686C" w:rsidRPr="001B336C">
        <w:rPr>
          <w:rFonts w:cstheme="minorHAnsi"/>
          <w:sz w:val="24"/>
          <w:szCs w:val="24"/>
        </w:rPr>
        <w:t xml:space="preserve"> on these prescription medicines need to be monitored by their </w:t>
      </w:r>
      <w:r w:rsidR="006C6858" w:rsidRPr="001B336C">
        <w:rPr>
          <w:rFonts w:cstheme="minorHAnsi"/>
          <w:sz w:val="24"/>
          <w:szCs w:val="24"/>
        </w:rPr>
        <w:t xml:space="preserve">physicians </w:t>
      </w:r>
      <w:r w:rsidR="00C0686C" w:rsidRPr="001B336C">
        <w:rPr>
          <w:rFonts w:cstheme="minorHAnsi"/>
          <w:sz w:val="24"/>
          <w:szCs w:val="24"/>
        </w:rPr>
        <w:t xml:space="preserve">to avoid being destabilized </w:t>
      </w:r>
      <w:r w:rsidR="006C6858" w:rsidRPr="001B336C">
        <w:rPr>
          <w:rFonts w:cstheme="minorHAnsi"/>
          <w:sz w:val="24"/>
          <w:szCs w:val="24"/>
        </w:rPr>
        <w:t>by</w:t>
      </w:r>
      <w:r w:rsidR="00C0686C" w:rsidRPr="001B336C">
        <w:rPr>
          <w:rFonts w:cstheme="minorHAnsi"/>
          <w:sz w:val="24"/>
          <w:szCs w:val="24"/>
        </w:rPr>
        <w:t xml:space="preserve"> the addition of curcumin</w:t>
      </w:r>
      <w:r w:rsidR="006C6858" w:rsidRPr="001B336C">
        <w:rPr>
          <w:rFonts w:cstheme="minorHAnsi"/>
          <w:sz w:val="24"/>
          <w:szCs w:val="24"/>
        </w:rPr>
        <w:t xml:space="preserve">. The same caution applies to </w:t>
      </w:r>
      <w:r w:rsidR="00C0686C" w:rsidRPr="001B336C">
        <w:rPr>
          <w:rFonts w:cstheme="minorHAnsi"/>
          <w:sz w:val="24"/>
          <w:szCs w:val="24"/>
        </w:rPr>
        <w:t>turmeric supplements.</w:t>
      </w:r>
    </w:p>
    <w:p w14:paraId="5DDEC90A" w14:textId="348B2E27" w:rsidR="00656E4B" w:rsidRPr="001B336C" w:rsidRDefault="00656E4B" w:rsidP="00742BAB">
      <w:pPr>
        <w:spacing w:after="0"/>
        <w:ind w:firstLine="720"/>
        <w:rPr>
          <w:rFonts w:cstheme="minorHAnsi"/>
          <w:sz w:val="24"/>
          <w:szCs w:val="24"/>
        </w:rPr>
      </w:pPr>
      <w:r w:rsidRPr="001B336C">
        <w:rPr>
          <w:noProof/>
        </w:rPr>
        <w:lastRenderedPageBreak/>
        <w:drawing>
          <wp:inline distT="0" distB="0" distL="0" distR="0" wp14:anchorId="291A3039" wp14:editId="6133E4CD">
            <wp:extent cx="5943600" cy="4012565"/>
            <wp:effectExtent l="0" t="0" r="0" b="6985"/>
            <wp:docPr id="298011233" name="Picture 2" descr="A diagram of a vir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11233" name="Picture 2" descr="A diagram of a viru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12565"/>
                    </a:xfrm>
                    <a:prstGeom prst="rect">
                      <a:avLst/>
                    </a:prstGeom>
                    <a:noFill/>
                    <a:ln>
                      <a:noFill/>
                    </a:ln>
                  </pic:spPr>
                </pic:pic>
              </a:graphicData>
            </a:graphic>
          </wp:inline>
        </w:drawing>
      </w:r>
    </w:p>
    <w:p w14:paraId="20B6FE0E" w14:textId="7B759EFF" w:rsidR="00B065F0" w:rsidRPr="001B336C" w:rsidRDefault="00B065F0" w:rsidP="003E2D4F">
      <w:pPr>
        <w:spacing w:after="0"/>
        <w:rPr>
          <w:rFonts w:cstheme="minorHAnsi"/>
          <w:sz w:val="24"/>
          <w:szCs w:val="24"/>
        </w:rPr>
      </w:pPr>
    </w:p>
    <w:p w14:paraId="361E0049" w14:textId="300C05F7" w:rsidR="00656E4B" w:rsidRPr="001B336C" w:rsidRDefault="00656E4B" w:rsidP="003E2D4F">
      <w:pPr>
        <w:spacing w:after="0"/>
        <w:rPr>
          <w:rFonts w:cstheme="minorHAnsi"/>
          <w:sz w:val="24"/>
          <w:szCs w:val="24"/>
        </w:rPr>
      </w:pPr>
      <w:r w:rsidRPr="001B336C">
        <w:rPr>
          <w:rFonts w:cstheme="minorHAnsi"/>
          <w:b/>
          <w:bCs/>
          <w:sz w:val="24"/>
          <w:szCs w:val="24"/>
        </w:rPr>
        <w:t>Figure 2.</w:t>
      </w:r>
      <w:r w:rsidRPr="001B336C">
        <w:rPr>
          <w:rFonts w:cstheme="minorHAnsi"/>
          <w:sz w:val="24"/>
          <w:szCs w:val="24"/>
        </w:rPr>
        <w:t xml:space="preserve"> S</w:t>
      </w:r>
      <w:r w:rsidR="009D18B9" w:rsidRPr="001B336C">
        <w:rPr>
          <w:rFonts w:cstheme="minorHAnsi"/>
          <w:sz w:val="24"/>
          <w:szCs w:val="24"/>
        </w:rPr>
        <w:t>ites of Possible Suppression of Spike-Protein Sequelae</w:t>
      </w:r>
      <w:r w:rsidR="003107BC" w:rsidRPr="001B336C">
        <w:rPr>
          <w:rFonts w:cstheme="minorHAnsi"/>
          <w:sz w:val="24"/>
          <w:szCs w:val="24"/>
        </w:rPr>
        <w:t xml:space="preserve"> Including Degradation and Inhibition of Thrombosis and Inflammation</w:t>
      </w:r>
    </w:p>
    <w:p w14:paraId="1D4088FE" w14:textId="77777777" w:rsidR="00656E4B" w:rsidRPr="001B336C" w:rsidRDefault="00656E4B" w:rsidP="003E2D4F">
      <w:pPr>
        <w:spacing w:after="0"/>
        <w:rPr>
          <w:rFonts w:cstheme="minorHAnsi"/>
          <w:sz w:val="24"/>
          <w:szCs w:val="24"/>
        </w:rPr>
      </w:pPr>
    </w:p>
    <w:p w14:paraId="5969FE81" w14:textId="58EAB9B6" w:rsidR="00AB503B" w:rsidRPr="001B336C" w:rsidRDefault="00AB503B" w:rsidP="003E2D4F">
      <w:pPr>
        <w:spacing w:after="0"/>
        <w:rPr>
          <w:rFonts w:cstheme="minorHAnsi"/>
          <w:b/>
          <w:bCs/>
          <w:sz w:val="24"/>
          <w:szCs w:val="24"/>
          <w:u w:val="single"/>
        </w:rPr>
      </w:pPr>
      <w:r w:rsidRPr="001B336C">
        <w:rPr>
          <w:rFonts w:cstheme="minorHAnsi"/>
          <w:b/>
          <w:bCs/>
          <w:sz w:val="24"/>
          <w:szCs w:val="24"/>
          <w:u w:val="single"/>
        </w:rPr>
        <w:t>Other Compounds</w:t>
      </w:r>
    </w:p>
    <w:p w14:paraId="0EEE904D" w14:textId="19CC48AF" w:rsidR="00AB503B" w:rsidRPr="001B336C" w:rsidRDefault="00AB503B" w:rsidP="00742BAB">
      <w:pPr>
        <w:spacing w:after="0"/>
        <w:ind w:firstLine="720"/>
        <w:rPr>
          <w:rFonts w:cstheme="minorHAnsi"/>
          <w:sz w:val="24"/>
          <w:szCs w:val="24"/>
        </w:rPr>
      </w:pPr>
      <w:r w:rsidRPr="001B336C">
        <w:rPr>
          <w:rFonts w:cstheme="minorHAnsi"/>
          <w:sz w:val="24"/>
          <w:szCs w:val="24"/>
        </w:rPr>
        <w:t xml:space="preserve">There is a </w:t>
      </w:r>
      <w:r w:rsidR="00C4335A" w:rsidRPr="001B336C">
        <w:rPr>
          <w:rFonts w:cstheme="minorHAnsi"/>
          <w:sz w:val="24"/>
          <w:szCs w:val="24"/>
        </w:rPr>
        <w:t>host</w:t>
      </w:r>
      <w:r w:rsidRPr="001B336C">
        <w:rPr>
          <w:rFonts w:cstheme="minorHAnsi"/>
          <w:sz w:val="24"/>
          <w:szCs w:val="24"/>
        </w:rPr>
        <w:t xml:space="preserve"> of other compounds that have supportive mechanistic and clinical data that could additionally play roles in a multidrug regimen.</w:t>
      </w:r>
      <w:r w:rsidR="005E0B30" w:rsidRPr="001B336C">
        <w:rPr>
          <w:rFonts w:cstheme="minorHAnsi"/>
          <w:sz w:val="24"/>
          <w:szCs w:val="24"/>
        </w:rPr>
        <w:t xml:space="preserve"> </w:t>
      </w:r>
      <w:r w:rsidR="00926A32" w:rsidRPr="001B336C">
        <w:rPr>
          <w:rFonts w:cstheme="minorHAnsi"/>
          <w:sz w:val="24"/>
          <w:szCs w:val="24"/>
        </w:rPr>
        <w:t>A</w:t>
      </w:r>
      <w:r w:rsidR="005E0B30" w:rsidRPr="001B336C">
        <w:rPr>
          <w:rFonts w:cstheme="minorHAnsi"/>
          <w:sz w:val="24"/>
          <w:szCs w:val="24"/>
        </w:rPr>
        <w:t xml:space="preserve"> notable </w:t>
      </w:r>
      <w:r w:rsidR="00926A32" w:rsidRPr="001B336C">
        <w:rPr>
          <w:rFonts w:cstheme="minorHAnsi"/>
          <w:sz w:val="24"/>
          <w:szCs w:val="24"/>
        </w:rPr>
        <w:t>supplement</w:t>
      </w:r>
      <w:r w:rsidR="005E0B30" w:rsidRPr="001B336C">
        <w:rPr>
          <w:rFonts w:cstheme="minorHAnsi"/>
          <w:sz w:val="24"/>
          <w:szCs w:val="24"/>
        </w:rPr>
        <w:t xml:space="preserve"> is augmented N-</w:t>
      </w:r>
      <w:r w:rsidR="001C6E0C" w:rsidRPr="001B336C">
        <w:rPr>
          <w:rFonts w:cstheme="minorHAnsi"/>
          <w:sz w:val="24"/>
          <w:szCs w:val="24"/>
        </w:rPr>
        <w:t>acetylcysteine</w:t>
      </w:r>
      <w:r w:rsidR="006C6858" w:rsidRPr="001B336C">
        <w:rPr>
          <w:rFonts w:cstheme="minorHAnsi"/>
          <w:sz w:val="24"/>
          <w:szCs w:val="24"/>
        </w:rPr>
        <w:t>,</w:t>
      </w:r>
      <w:r w:rsidR="009773C0" w:rsidRPr="001B336C">
        <w:rPr>
          <w:rFonts w:cstheme="minorHAnsi"/>
          <w:sz w:val="24"/>
          <w:szCs w:val="24"/>
        </w:rPr>
        <w:t xml:space="preserve"> which can be given in a dose range of 400 to 1</w:t>
      </w:r>
      <w:r w:rsidR="00DD24CC" w:rsidRPr="001B336C">
        <w:rPr>
          <w:rFonts w:cstheme="minorHAnsi"/>
          <w:sz w:val="24"/>
          <w:szCs w:val="24"/>
        </w:rPr>
        <w:t>,</w:t>
      </w:r>
      <w:r w:rsidR="009773C0" w:rsidRPr="001B336C">
        <w:rPr>
          <w:rFonts w:cstheme="minorHAnsi"/>
          <w:sz w:val="24"/>
          <w:szCs w:val="24"/>
        </w:rPr>
        <w:t xml:space="preserve">000 mg </w:t>
      </w:r>
      <w:r w:rsidR="006C6858" w:rsidRPr="001B336C">
        <w:rPr>
          <w:rFonts w:cstheme="minorHAnsi"/>
          <w:sz w:val="24"/>
          <w:szCs w:val="24"/>
        </w:rPr>
        <w:t>per</w:t>
      </w:r>
      <w:r w:rsidR="009773C0" w:rsidRPr="001B336C">
        <w:rPr>
          <w:rFonts w:cstheme="minorHAnsi"/>
          <w:sz w:val="24"/>
          <w:szCs w:val="24"/>
        </w:rPr>
        <w:t xml:space="preserve"> day.</w:t>
      </w:r>
      <w:r w:rsidR="00742BAB" w:rsidRPr="001B336C">
        <w:rPr>
          <w:rFonts w:cstheme="minorHAnsi"/>
          <w:sz w:val="24"/>
          <w:szCs w:val="24"/>
        </w:rPr>
        <w:t xml:space="preserve"> </w:t>
      </w:r>
      <w:r w:rsidR="009773C0" w:rsidRPr="001B336C">
        <w:rPr>
          <w:rFonts w:cstheme="minorHAnsi"/>
          <w:sz w:val="24"/>
          <w:szCs w:val="24"/>
        </w:rPr>
        <w:t>Other</w:t>
      </w:r>
      <w:r w:rsidR="00926A32" w:rsidRPr="001B336C">
        <w:rPr>
          <w:rFonts w:cstheme="minorHAnsi"/>
          <w:sz w:val="24"/>
          <w:szCs w:val="24"/>
        </w:rPr>
        <w:t xml:space="preserve"> hopeful</w:t>
      </w:r>
      <w:r w:rsidR="009773C0" w:rsidRPr="001B336C">
        <w:rPr>
          <w:rFonts w:cstheme="minorHAnsi"/>
          <w:sz w:val="24"/>
          <w:szCs w:val="24"/>
        </w:rPr>
        <w:t xml:space="preserve"> products in a long list include:</w:t>
      </w:r>
      <w:r w:rsidR="00742BAB" w:rsidRPr="001B336C">
        <w:rPr>
          <w:rFonts w:cstheme="minorHAnsi"/>
          <w:sz w:val="24"/>
          <w:szCs w:val="24"/>
        </w:rPr>
        <w:t xml:space="preserve"> </w:t>
      </w:r>
      <w:r w:rsidR="009773C0" w:rsidRPr="001B336C">
        <w:rPr>
          <w:rFonts w:cstheme="minorHAnsi"/>
          <w:sz w:val="24"/>
          <w:szCs w:val="24"/>
        </w:rPr>
        <w:t>ivermectin,</w:t>
      </w:r>
      <w:r w:rsidR="00017A39" w:rsidRPr="001B336C">
        <w:rPr>
          <w:rFonts w:cstheme="minorHAnsi"/>
          <w:sz w:val="24"/>
          <w:szCs w:val="24"/>
        </w:rPr>
        <w:t xml:space="preserve"> hydroxychloroquine,</w:t>
      </w:r>
      <w:r w:rsidR="0019052D" w:rsidRPr="001B336C">
        <w:rPr>
          <w:rFonts w:cstheme="minorHAnsi"/>
          <w:sz w:val="24"/>
          <w:szCs w:val="24"/>
        </w:rPr>
        <w:t xml:space="preserve"> selenium, Irish sea moss, green tea extract (</w:t>
      </w:r>
      <w:r w:rsidR="0019052D" w:rsidRPr="001B336C">
        <w:rPr>
          <w:rFonts w:cstheme="minorHAnsi"/>
          <w:i/>
          <w:iCs/>
          <w:sz w:val="24"/>
          <w:szCs w:val="24"/>
        </w:rPr>
        <w:t>Camill</w:t>
      </w:r>
      <w:r w:rsidR="00DD24CC" w:rsidRPr="001B336C">
        <w:rPr>
          <w:rFonts w:cstheme="minorHAnsi"/>
          <w:i/>
          <w:iCs/>
          <w:sz w:val="24"/>
          <w:szCs w:val="24"/>
        </w:rPr>
        <w:t>i</w:t>
      </w:r>
      <w:r w:rsidR="0019052D" w:rsidRPr="001B336C">
        <w:rPr>
          <w:rFonts w:cstheme="minorHAnsi"/>
          <w:i/>
          <w:iCs/>
          <w:sz w:val="24"/>
          <w:szCs w:val="24"/>
        </w:rPr>
        <w:t>a sinensis</w:t>
      </w:r>
      <w:r w:rsidR="0019052D" w:rsidRPr="001B336C">
        <w:rPr>
          <w:rFonts w:cstheme="minorHAnsi"/>
          <w:sz w:val="24"/>
          <w:szCs w:val="24"/>
        </w:rPr>
        <w:t>),</w:t>
      </w:r>
      <w:r w:rsidR="009773C0" w:rsidRPr="001B336C">
        <w:rPr>
          <w:rFonts w:cstheme="minorHAnsi"/>
          <w:sz w:val="24"/>
          <w:szCs w:val="24"/>
        </w:rPr>
        <w:t xml:space="preserve"> </w:t>
      </w:r>
      <w:r w:rsidR="009773C0" w:rsidRPr="001B336C">
        <w:rPr>
          <w:rFonts w:cstheme="minorHAnsi"/>
          <w:i/>
          <w:iCs/>
          <w:sz w:val="24"/>
          <w:szCs w:val="24"/>
        </w:rPr>
        <w:t>Nigella sativa</w:t>
      </w:r>
      <w:r w:rsidR="009773C0" w:rsidRPr="001B336C">
        <w:rPr>
          <w:rFonts w:cstheme="minorHAnsi"/>
          <w:sz w:val="24"/>
          <w:szCs w:val="24"/>
        </w:rPr>
        <w:t xml:space="preserve"> (black cumin</w:t>
      </w:r>
      <w:r w:rsidR="001D446C" w:rsidRPr="001B336C">
        <w:rPr>
          <w:rFonts w:cstheme="minorHAnsi"/>
          <w:sz w:val="24"/>
          <w:szCs w:val="24"/>
        </w:rPr>
        <w:t>), dandelion</w:t>
      </w:r>
      <w:r w:rsidR="00926A32" w:rsidRPr="001B336C">
        <w:rPr>
          <w:rFonts w:cstheme="minorHAnsi"/>
          <w:sz w:val="24"/>
          <w:szCs w:val="24"/>
        </w:rPr>
        <w:t xml:space="preserve"> extract (</w:t>
      </w:r>
      <w:r w:rsidR="00926A32" w:rsidRPr="001B336C">
        <w:rPr>
          <w:rFonts w:cstheme="minorHAnsi"/>
          <w:i/>
          <w:iCs/>
          <w:sz w:val="24"/>
          <w:szCs w:val="24"/>
        </w:rPr>
        <w:t>Taraxacum officinale</w:t>
      </w:r>
      <w:r w:rsidR="00926A32" w:rsidRPr="001B336C">
        <w:rPr>
          <w:rFonts w:cstheme="minorHAnsi"/>
          <w:sz w:val="24"/>
          <w:szCs w:val="24"/>
        </w:rPr>
        <w:t>), glutathione, and many more.</w:t>
      </w:r>
      <w:r w:rsidR="00742BAB" w:rsidRPr="001B336C">
        <w:rPr>
          <w:rFonts w:cstheme="minorHAnsi"/>
          <w:sz w:val="24"/>
          <w:szCs w:val="24"/>
        </w:rPr>
        <w:t xml:space="preserve"> </w:t>
      </w:r>
      <w:r w:rsidR="00926A32" w:rsidRPr="001B336C">
        <w:rPr>
          <w:rFonts w:cstheme="minorHAnsi"/>
          <w:sz w:val="24"/>
          <w:szCs w:val="24"/>
        </w:rPr>
        <w:t xml:space="preserve">We have </w:t>
      </w:r>
      <w:r w:rsidR="00C4335A" w:rsidRPr="001B336C">
        <w:rPr>
          <w:rFonts w:cstheme="minorHAnsi"/>
          <w:sz w:val="24"/>
          <w:szCs w:val="24"/>
        </w:rPr>
        <w:t>chosen</w:t>
      </w:r>
      <w:r w:rsidR="00926A32" w:rsidRPr="001B336C">
        <w:rPr>
          <w:rFonts w:cstheme="minorHAnsi"/>
          <w:sz w:val="24"/>
          <w:szCs w:val="24"/>
        </w:rPr>
        <w:t xml:space="preserve"> to focus on nattokinase, bromelain, and curcumin as a manageable triad that has a well </w:t>
      </w:r>
      <w:r w:rsidR="00DD24CC" w:rsidRPr="001B336C">
        <w:rPr>
          <w:rFonts w:cstheme="minorHAnsi"/>
          <w:sz w:val="24"/>
          <w:szCs w:val="24"/>
        </w:rPr>
        <w:t>-</w:t>
      </w:r>
      <w:r w:rsidR="00926A32" w:rsidRPr="001B336C">
        <w:rPr>
          <w:rFonts w:cstheme="minorHAnsi"/>
          <w:sz w:val="24"/>
          <w:szCs w:val="24"/>
        </w:rPr>
        <w:t>characterized safety profile and sufficient information on dosing in clinical practice.</w:t>
      </w:r>
    </w:p>
    <w:p w14:paraId="5660127F" w14:textId="77777777" w:rsidR="006C6858" w:rsidRPr="001B336C" w:rsidRDefault="006C6858" w:rsidP="003E2D4F">
      <w:pPr>
        <w:spacing w:after="0"/>
        <w:rPr>
          <w:rFonts w:cstheme="minorHAnsi"/>
          <w:sz w:val="24"/>
          <w:szCs w:val="24"/>
        </w:rPr>
      </w:pPr>
    </w:p>
    <w:p w14:paraId="4312652C" w14:textId="17BA44A6" w:rsidR="00EA679D" w:rsidRPr="001B336C" w:rsidRDefault="00EA679D" w:rsidP="003E2D4F">
      <w:pPr>
        <w:spacing w:after="0"/>
        <w:rPr>
          <w:rFonts w:cstheme="minorHAnsi"/>
          <w:b/>
          <w:bCs/>
          <w:sz w:val="24"/>
          <w:szCs w:val="24"/>
        </w:rPr>
      </w:pPr>
      <w:r w:rsidRPr="001B336C">
        <w:rPr>
          <w:rFonts w:cstheme="minorHAnsi"/>
          <w:b/>
          <w:bCs/>
          <w:sz w:val="24"/>
          <w:szCs w:val="24"/>
        </w:rPr>
        <w:t>Laboratory and Clinical Monitoring</w:t>
      </w:r>
    </w:p>
    <w:p w14:paraId="5CFC51F7" w14:textId="77777777" w:rsidR="006C6858" w:rsidRPr="001B336C" w:rsidRDefault="006C6858" w:rsidP="003E2D4F">
      <w:pPr>
        <w:spacing w:after="0"/>
        <w:rPr>
          <w:rFonts w:cstheme="minorHAnsi"/>
          <w:b/>
          <w:bCs/>
          <w:sz w:val="24"/>
          <w:szCs w:val="24"/>
        </w:rPr>
      </w:pPr>
    </w:p>
    <w:p w14:paraId="701EB268" w14:textId="75E213B7" w:rsidR="00EA679D" w:rsidRPr="001B336C" w:rsidRDefault="00EA679D" w:rsidP="00742BAB">
      <w:pPr>
        <w:spacing w:after="0"/>
        <w:ind w:firstLine="720"/>
        <w:rPr>
          <w:rFonts w:cstheme="minorHAnsi"/>
          <w:sz w:val="24"/>
          <w:szCs w:val="24"/>
        </w:rPr>
      </w:pPr>
      <w:r w:rsidRPr="001B336C">
        <w:rPr>
          <w:rFonts w:cstheme="minorHAnsi"/>
          <w:sz w:val="24"/>
          <w:szCs w:val="24"/>
        </w:rPr>
        <w:t>Laboratory monitoring can be helpful in guiding the response to treatment.</w:t>
      </w:r>
      <w:r w:rsidR="00742BAB" w:rsidRPr="001B336C">
        <w:rPr>
          <w:rFonts w:cstheme="minorHAnsi"/>
          <w:sz w:val="24"/>
          <w:szCs w:val="24"/>
        </w:rPr>
        <w:t xml:space="preserve"> </w:t>
      </w:r>
      <w:r w:rsidRPr="001B336C">
        <w:rPr>
          <w:rFonts w:cstheme="minorHAnsi"/>
          <w:sz w:val="24"/>
          <w:szCs w:val="24"/>
        </w:rPr>
        <w:t>A reasonable battery of commercially available assays above and beyond routine testing can include:</w:t>
      </w:r>
      <w:r w:rsidR="00742BAB" w:rsidRPr="001B336C">
        <w:rPr>
          <w:rFonts w:cstheme="minorHAnsi"/>
          <w:sz w:val="24"/>
          <w:szCs w:val="24"/>
        </w:rPr>
        <w:t xml:space="preserve"> </w:t>
      </w:r>
      <w:r w:rsidRPr="001B336C">
        <w:rPr>
          <w:rFonts w:cstheme="minorHAnsi"/>
          <w:sz w:val="24"/>
          <w:szCs w:val="24"/>
        </w:rPr>
        <w:t xml:space="preserve">hs-CRP, </w:t>
      </w:r>
      <w:r w:rsidR="00DD24CC" w:rsidRPr="001B336C">
        <w:rPr>
          <w:rFonts w:cstheme="minorHAnsi"/>
          <w:sz w:val="24"/>
          <w:szCs w:val="24"/>
        </w:rPr>
        <w:t>D-d</w:t>
      </w:r>
      <w:r w:rsidRPr="001B336C">
        <w:rPr>
          <w:rFonts w:cstheme="minorHAnsi"/>
          <w:sz w:val="24"/>
          <w:szCs w:val="24"/>
        </w:rPr>
        <w:t xml:space="preserve">imer, </w:t>
      </w:r>
      <w:r w:rsidR="006C6858" w:rsidRPr="001B336C">
        <w:rPr>
          <w:rFonts w:cstheme="minorHAnsi"/>
          <w:sz w:val="24"/>
          <w:szCs w:val="24"/>
        </w:rPr>
        <w:t>antinuclear antibody (</w:t>
      </w:r>
      <w:r w:rsidRPr="001B336C">
        <w:rPr>
          <w:rFonts w:cstheme="minorHAnsi"/>
          <w:sz w:val="24"/>
          <w:szCs w:val="24"/>
        </w:rPr>
        <w:t>ANA</w:t>
      </w:r>
      <w:r w:rsidR="006C6858" w:rsidRPr="001B336C">
        <w:rPr>
          <w:rFonts w:cstheme="minorHAnsi"/>
          <w:sz w:val="24"/>
          <w:szCs w:val="24"/>
        </w:rPr>
        <w:t>)</w:t>
      </w:r>
      <w:r w:rsidRPr="001B336C">
        <w:rPr>
          <w:rFonts w:cstheme="minorHAnsi"/>
          <w:sz w:val="24"/>
          <w:szCs w:val="24"/>
        </w:rPr>
        <w:t xml:space="preserve">, </w:t>
      </w:r>
      <w:r w:rsidR="0070391A" w:rsidRPr="001B336C">
        <w:rPr>
          <w:rFonts w:cstheme="minorHAnsi"/>
          <w:sz w:val="24"/>
          <w:szCs w:val="24"/>
        </w:rPr>
        <w:t>qualitative</w:t>
      </w:r>
      <w:r w:rsidRPr="001B336C">
        <w:rPr>
          <w:rFonts w:cstheme="minorHAnsi"/>
          <w:sz w:val="24"/>
          <w:szCs w:val="24"/>
        </w:rPr>
        <w:t xml:space="preserve"> antibodies for the SARS-CoV-2 nucleocapsid, </w:t>
      </w:r>
      <w:r w:rsidR="00971790" w:rsidRPr="001B336C">
        <w:rPr>
          <w:rFonts w:cstheme="minorHAnsi"/>
          <w:sz w:val="24"/>
          <w:szCs w:val="24"/>
        </w:rPr>
        <w:t xml:space="preserve">and </w:t>
      </w:r>
      <w:r w:rsidRPr="001B336C">
        <w:rPr>
          <w:rFonts w:cstheme="minorHAnsi"/>
          <w:sz w:val="24"/>
          <w:szCs w:val="24"/>
        </w:rPr>
        <w:t xml:space="preserve">quantitative antibodies for the </w:t>
      </w:r>
      <w:r w:rsidR="000541B6" w:rsidRPr="001B336C">
        <w:rPr>
          <w:rFonts w:cstheme="minorHAnsi"/>
          <w:sz w:val="24"/>
          <w:szCs w:val="24"/>
        </w:rPr>
        <w:t>spike</w:t>
      </w:r>
      <w:r w:rsidRPr="001B336C">
        <w:rPr>
          <w:rFonts w:cstheme="minorHAnsi"/>
          <w:sz w:val="24"/>
          <w:szCs w:val="24"/>
        </w:rPr>
        <w:t xml:space="preserve"> protein</w:t>
      </w:r>
      <w:r w:rsidR="00971790" w:rsidRPr="001B336C">
        <w:rPr>
          <w:rFonts w:cstheme="minorHAnsi"/>
          <w:sz w:val="24"/>
          <w:szCs w:val="24"/>
        </w:rPr>
        <w:t>.</w:t>
      </w:r>
      <w:r w:rsidR="00742BAB" w:rsidRPr="001B336C">
        <w:rPr>
          <w:rFonts w:cstheme="minorHAnsi"/>
          <w:sz w:val="24"/>
          <w:szCs w:val="24"/>
        </w:rPr>
        <w:t xml:space="preserve"> </w:t>
      </w:r>
      <w:r w:rsidR="00971790" w:rsidRPr="001B336C">
        <w:rPr>
          <w:rFonts w:cstheme="minorHAnsi"/>
          <w:sz w:val="24"/>
          <w:szCs w:val="24"/>
        </w:rPr>
        <w:t xml:space="preserve">Advanced panels at baseline and after </w:t>
      </w:r>
      <w:r w:rsidR="00971790" w:rsidRPr="001B336C">
        <w:rPr>
          <w:rFonts w:cstheme="minorHAnsi"/>
          <w:sz w:val="24"/>
          <w:szCs w:val="24"/>
        </w:rPr>
        <w:lastRenderedPageBreak/>
        <w:t>treatment can be extended to reflect cytokine</w:t>
      </w:r>
      <w:r w:rsidR="00161642" w:rsidRPr="001B336C">
        <w:rPr>
          <w:rFonts w:cstheme="minorHAnsi"/>
          <w:sz w:val="24"/>
          <w:szCs w:val="24"/>
        </w:rPr>
        <w:t>s</w:t>
      </w:r>
      <w:r w:rsidR="00971790" w:rsidRPr="001B336C">
        <w:rPr>
          <w:rFonts w:cstheme="minorHAnsi"/>
          <w:sz w:val="24"/>
          <w:szCs w:val="24"/>
        </w:rPr>
        <w:t xml:space="preserve"> </w:t>
      </w:r>
      <w:r w:rsidR="00325DF8" w:rsidRPr="001B336C">
        <w:rPr>
          <w:rFonts w:cstheme="minorHAnsi"/>
          <w:sz w:val="24"/>
          <w:szCs w:val="24"/>
        </w:rPr>
        <w:t>including</w:t>
      </w:r>
      <w:r w:rsidR="00BF31D0" w:rsidRPr="001B336C">
        <w:rPr>
          <w:rFonts w:cstheme="minorHAnsi"/>
          <w:sz w:val="24"/>
          <w:szCs w:val="24"/>
        </w:rPr>
        <w:t>:</w:t>
      </w:r>
      <w:r w:rsidR="00742BAB" w:rsidRPr="001B336C">
        <w:rPr>
          <w:rFonts w:cstheme="minorHAnsi"/>
          <w:sz w:val="24"/>
          <w:szCs w:val="24"/>
        </w:rPr>
        <w:t xml:space="preserve"> </w:t>
      </w:r>
      <w:r w:rsidR="00BF31D0" w:rsidRPr="001B336C">
        <w:rPr>
          <w:rFonts w:cstheme="minorHAnsi"/>
          <w:sz w:val="24"/>
          <w:szCs w:val="24"/>
        </w:rPr>
        <w:t xml:space="preserve">cytokines </w:t>
      </w:r>
      <w:r w:rsidR="00971790" w:rsidRPr="001B336C">
        <w:rPr>
          <w:rFonts w:cstheme="minorHAnsi"/>
          <w:sz w:val="24"/>
          <w:szCs w:val="24"/>
        </w:rPr>
        <w:t>TNF-alpha, IL-4, IL-13, IL-2, GM-CSF, sCD40L, CCL5 (RANTES), CCL3 (MIP-1alpha), IL-6, IL-10, IFN-gamma, VEGF, IL-8, CCL4(MIP-1beta)</w:t>
      </w:r>
      <w:r w:rsidR="00161642" w:rsidRPr="001B336C">
        <w:rPr>
          <w:rFonts w:cstheme="minorHAnsi"/>
          <w:sz w:val="24"/>
          <w:szCs w:val="24"/>
        </w:rPr>
        <w:t>. Cellular measurements include</w:t>
      </w:r>
      <w:r w:rsidR="00BF31D0" w:rsidRPr="001B336C">
        <w:rPr>
          <w:rFonts w:cstheme="minorHAnsi"/>
          <w:sz w:val="24"/>
          <w:szCs w:val="24"/>
        </w:rPr>
        <w:t xml:space="preserve"> </w:t>
      </w:r>
      <w:r w:rsidR="00237A78" w:rsidRPr="001B336C">
        <w:rPr>
          <w:rFonts w:cstheme="minorHAnsi"/>
          <w:sz w:val="24"/>
          <w:szCs w:val="24"/>
        </w:rPr>
        <w:t xml:space="preserve">WBC CD4%, CD8%, and CD4/CD8 </w:t>
      </w:r>
      <w:r w:rsidR="008917A6" w:rsidRPr="001B336C">
        <w:rPr>
          <w:rFonts w:cstheme="minorHAnsi"/>
          <w:sz w:val="24"/>
          <w:szCs w:val="24"/>
        </w:rPr>
        <w:t>ratio</w:t>
      </w:r>
      <w:r w:rsidR="00161642" w:rsidRPr="001B336C">
        <w:rPr>
          <w:rFonts w:cstheme="minorHAnsi"/>
          <w:sz w:val="24"/>
          <w:szCs w:val="24"/>
        </w:rPr>
        <w:t>, and</w:t>
      </w:r>
      <w:r w:rsidR="00742BAB" w:rsidRPr="001B336C">
        <w:rPr>
          <w:rFonts w:cstheme="minorHAnsi"/>
          <w:sz w:val="24"/>
          <w:szCs w:val="24"/>
        </w:rPr>
        <w:t xml:space="preserve"> </w:t>
      </w:r>
      <w:r w:rsidR="00161642" w:rsidRPr="001B336C">
        <w:rPr>
          <w:rFonts w:cstheme="minorHAnsi"/>
          <w:sz w:val="24"/>
          <w:szCs w:val="24"/>
        </w:rPr>
        <w:t>q</w:t>
      </w:r>
      <w:r w:rsidR="00237A78" w:rsidRPr="001B336C">
        <w:rPr>
          <w:rFonts w:cstheme="minorHAnsi"/>
          <w:sz w:val="24"/>
          <w:szCs w:val="24"/>
        </w:rPr>
        <w:t xml:space="preserve">uantification of SARS-CoV-2 S1 </w:t>
      </w:r>
      <w:r w:rsidR="000541B6" w:rsidRPr="001B336C">
        <w:rPr>
          <w:rFonts w:cstheme="minorHAnsi"/>
          <w:sz w:val="24"/>
          <w:szCs w:val="24"/>
        </w:rPr>
        <w:t>spike</w:t>
      </w:r>
      <w:r w:rsidR="00325DF8" w:rsidRPr="001B336C">
        <w:rPr>
          <w:rFonts w:cstheme="minorHAnsi"/>
          <w:sz w:val="24"/>
          <w:szCs w:val="24"/>
        </w:rPr>
        <w:t xml:space="preserve"> p</w:t>
      </w:r>
      <w:r w:rsidR="00237A78" w:rsidRPr="001B336C">
        <w:rPr>
          <w:rFonts w:cstheme="minorHAnsi"/>
          <w:sz w:val="24"/>
          <w:szCs w:val="24"/>
        </w:rPr>
        <w:t>rotein</w:t>
      </w:r>
      <w:r w:rsidR="00161642" w:rsidRPr="001B336C">
        <w:rPr>
          <w:rFonts w:cstheme="minorHAnsi"/>
          <w:sz w:val="24"/>
          <w:szCs w:val="24"/>
        </w:rPr>
        <w:t>-</w:t>
      </w:r>
      <w:r w:rsidR="00325DF8" w:rsidRPr="001B336C">
        <w:rPr>
          <w:rFonts w:cstheme="minorHAnsi"/>
          <w:sz w:val="24"/>
          <w:szCs w:val="24"/>
        </w:rPr>
        <w:t>c</w:t>
      </w:r>
      <w:r w:rsidR="00237A78" w:rsidRPr="001B336C">
        <w:rPr>
          <w:rFonts w:cstheme="minorHAnsi"/>
          <w:sz w:val="24"/>
          <w:szCs w:val="24"/>
        </w:rPr>
        <w:t xml:space="preserve">ontaining </w:t>
      </w:r>
      <w:r w:rsidR="00325DF8" w:rsidRPr="001B336C">
        <w:rPr>
          <w:rFonts w:cstheme="minorHAnsi"/>
          <w:sz w:val="24"/>
          <w:szCs w:val="24"/>
        </w:rPr>
        <w:t>m</w:t>
      </w:r>
      <w:r w:rsidR="00237A78" w:rsidRPr="001B336C">
        <w:rPr>
          <w:rFonts w:cstheme="minorHAnsi"/>
          <w:sz w:val="24"/>
          <w:szCs w:val="24"/>
        </w:rPr>
        <w:t>onocytes</w:t>
      </w:r>
      <w:r w:rsidR="00161642" w:rsidRPr="001B336C">
        <w:rPr>
          <w:rFonts w:cstheme="minorHAnsi"/>
          <w:sz w:val="24"/>
          <w:szCs w:val="24"/>
        </w:rPr>
        <w:t xml:space="preserve">, available from </w:t>
      </w:r>
      <w:r w:rsidR="00325DF8" w:rsidRPr="001B336C">
        <w:rPr>
          <w:rFonts w:cstheme="minorHAnsi"/>
          <w:sz w:val="24"/>
          <w:szCs w:val="24"/>
        </w:rPr>
        <w:t>Radiance Diagnostics, Naperville, I</w:t>
      </w:r>
      <w:r w:rsidR="00DD24CC" w:rsidRPr="001B336C">
        <w:rPr>
          <w:rFonts w:cstheme="minorHAnsi"/>
          <w:sz w:val="24"/>
          <w:szCs w:val="24"/>
        </w:rPr>
        <w:t>ll.</w:t>
      </w:r>
      <w:r w:rsidR="00325DF8" w:rsidRPr="001B336C">
        <w:rPr>
          <w:rStyle w:val="EndnoteReference"/>
          <w:rFonts w:cstheme="minorHAnsi"/>
          <w:sz w:val="24"/>
          <w:szCs w:val="24"/>
        </w:rPr>
        <w:endnoteReference w:id="27"/>
      </w:r>
      <w:r w:rsidR="00DD24CC" w:rsidRPr="001B336C">
        <w:rPr>
          <w:rFonts w:cstheme="minorHAnsi"/>
          <w:sz w:val="24"/>
          <w:szCs w:val="24"/>
        </w:rPr>
        <w:t xml:space="preserve"> [27]</w:t>
      </w:r>
    </w:p>
    <w:p w14:paraId="65A990A9" w14:textId="77777777" w:rsidR="007B535C" w:rsidRPr="001B336C" w:rsidRDefault="007B535C" w:rsidP="003E2D4F">
      <w:pPr>
        <w:spacing w:after="0"/>
        <w:rPr>
          <w:rFonts w:cstheme="minorHAnsi"/>
          <w:sz w:val="24"/>
          <w:szCs w:val="24"/>
        </w:rPr>
      </w:pPr>
    </w:p>
    <w:p w14:paraId="1461D4FB" w14:textId="55E3798F" w:rsidR="007B535C" w:rsidRPr="001B336C" w:rsidRDefault="00C94326" w:rsidP="003E2D4F">
      <w:pPr>
        <w:spacing w:after="0"/>
        <w:rPr>
          <w:rFonts w:cstheme="minorHAnsi"/>
          <w:b/>
          <w:bCs/>
          <w:sz w:val="24"/>
          <w:szCs w:val="24"/>
        </w:rPr>
      </w:pPr>
      <w:r w:rsidRPr="001B336C">
        <w:rPr>
          <w:rFonts w:cstheme="minorHAnsi"/>
          <w:b/>
          <w:bCs/>
          <w:sz w:val="24"/>
          <w:szCs w:val="24"/>
        </w:rPr>
        <w:t>Discussion</w:t>
      </w:r>
    </w:p>
    <w:p w14:paraId="362E8B00" w14:textId="77777777" w:rsidR="00C94326" w:rsidRPr="001B336C" w:rsidRDefault="00C94326" w:rsidP="003E2D4F">
      <w:pPr>
        <w:spacing w:after="0"/>
        <w:rPr>
          <w:rFonts w:cstheme="minorHAnsi"/>
          <w:b/>
          <w:bCs/>
          <w:sz w:val="24"/>
          <w:szCs w:val="24"/>
        </w:rPr>
      </w:pPr>
    </w:p>
    <w:p w14:paraId="65E3E293" w14:textId="03255670" w:rsidR="00C94326" w:rsidRPr="001B336C" w:rsidRDefault="007B535C" w:rsidP="00742BAB">
      <w:pPr>
        <w:spacing w:after="0"/>
        <w:ind w:firstLine="720"/>
        <w:rPr>
          <w:rFonts w:cstheme="minorHAnsi"/>
          <w:sz w:val="24"/>
          <w:szCs w:val="24"/>
        </w:rPr>
      </w:pPr>
      <w:r w:rsidRPr="001B336C">
        <w:rPr>
          <w:rFonts w:cstheme="minorHAnsi"/>
          <w:sz w:val="24"/>
          <w:szCs w:val="24"/>
        </w:rPr>
        <w:t>Triple therapy with nattokinase, bromelain, and curcumin is a</w:t>
      </w:r>
      <w:r w:rsidR="004A6BF2" w:rsidRPr="001B336C">
        <w:rPr>
          <w:rFonts w:cstheme="minorHAnsi"/>
          <w:sz w:val="24"/>
          <w:szCs w:val="24"/>
        </w:rPr>
        <w:t xml:space="preserve"> </w:t>
      </w:r>
      <w:r w:rsidR="00C94326" w:rsidRPr="001B336C">
        <w:rPr>
          <w:rFonts w:cstheme="minorHAnsi"/>
          <w:sz w:val="24"/>
          <w:szCs w:val="24"/>
        </w:rPr>
        <w:t xml:space="preserve">generally safe </w:t>
      </w:r>
      <w:r w:rsidR="00451969" w:rsidRPr="001B336C">
        <w:rPr>
          <w:rFonts w:cstheme="minorHAnsi"/>
          <w:sz w:val="24"/>
          <w:szCs w:val="24"/>
        </w:rPr>
        <w:t xml:space="preserve">detoxification </w:t>
      </w:r>
      <w:r w:rsidRPr="001B336C">
        <w:rPr>
          <w:rFonts w:cstheme="minorHAnsi"/>
          <w:sz w:val="24"/>
          <w:szCs w:val="24"/>
        </w:rPr>
        <w:t xml:space="preserve">foundation upon which other drug and nutraceutical treatment strategies can be developed for the amelioration of SARS-CoV-2 </w:t>
      </w:r>
      <w:r w:rsidR="000541B6" w:rsidRPr="001B336C">
        <w:rPr>
          <w:rFonts w:cstheme="minorHAnsi"/>
          <w:sz w:val="24"/>
          <w:szCs w:val="24"/>
        </w:rPr>
        <w:t>spike</w:t>
      </w:r>
      <w:r w:rsidRPr="001B336C">
        <w:rPr>
          <w:rFonts w:cstheme="minorHAnsi"/>
          <w:sz w:val="24"/>
          <w:szCs w:val="24"/>
        </w:rPr>
        <w:t xml:space="preserve"> protein</w:t>
      </w:r>
      <w:r w:rsidR="00C94326" w:rsidRPr="001B336C">
        <w:rPr>
          <w:rFonts w:cstheme="minorHAnsi"/>
          <w:sz w:val="24"/>
          <w:szCs w:val="24"/>
        </w:rPr>
        <w:t>-</w:t>
      </w:r>
      <w:r w:rsidRPr="001B336C">
        <w:rPr>
          <w:rFonts w:cstheme="minorHAnsi"/>
          <w:sz w:val="24"/>
          <w:szCs w:val="24"/>
        </w:rPr>
        <w:t>driven syndromes a</w:t>
      </w:r>
      <w:r w:rsidR="00C94326" w:rsidRPr="001B336C">
        <w:rPr>
          <w:rFonts w:cstheme="minorHAnsi"/>
          <w:sz w:val="24"/>
          <w:szCs w:val="24"/>
        </w:rPr>
        <w:t>ffecting t</w:t>
      </w:r>
      <w:r w:rsidRPr="001B336C">
        <w:rPr>
          <w:rFonts w:cstheme="minorHAnsi"/>
          <w:sz w:val="24"/>
          <w:szCs w:val="24"/>
        </w:rPr>
        <w:t>hose who have recovered from COVID-19 and</w:t>
      </w:r>
      <w:r w:rsidR="00DD24CC" w:rsidRPr="001B336C">
        <w:rPr>
          <w:rFonts w:cstheme="minorHAnsi"/>
          <w:sz w:val="24"/>
          <w:szCs w:val="24"/>
        </w:rPr>
        <w:t>/</w:t>
      </w:r>
      <w:r w:rsidRPr="001B336C">
        <w:rPr>
          <w:rFonts w:cstheme="minorHAnsi"/>
          <w:sz w:val="24"/>
          <w:szCs w:val="24"/>
        </w:rPr>
        <w:t xml:space="preserve">or received one or more injections of a </w:t>
      </w:r>
      <w:r w:rsidR="00C94326" w:rsidRPr="001B336C">
        <w:rPr>
          <w:rFonts w:cstheme="minorHAnsi"/>
          <w:sz w:val="24"/>
          <w:szCs w:val="24"/>
        </w:rPr>
        <w:t xml:space="preserve">COVID </w:t>
      </w:r>
      <w:r w:rsidRPr="001B336C">
        <w:rPr>
          <w:rFonts w:cstheme="minorHAnsi"/>
          <w:sz w:val="24"/>
          <w:szCs w:val="24"/>
        </w:rPr>
        <w:t>vaccine</w:t>
      </w:r>
      <w:r w:rsidR="0030768E" w:rsidRPr="001B336C">
        <w:rPr>
          <w:rFonts w:cstheme="minorHAnsi"/>
          <w:sz w:val="24"/>
          <w:szCs w:val="24"/>
        </w:rPr>
        <w:t xml:space="preserve"> (Figure 2)</w:t>
      </w:r>
      <w:r w:rsidRPr="001B336C">
        <w:rPr>
          <w:rFonts w:cstheme="minorHAnsi"/>
          <w:sz w:val="24"/>
          <w:szCs w:val="24"/>
        </w:rPr>
        <w:t>.</w:t>
      </w:r>
      <w:r w:rsidR="00742BAB" w:rsidRPr="001B336C">
        <w:rPr>
          <w:rFonts w:cstheme="minorHAnsi"/>
          <w:sz w:val="24"/>
          <w:szCs w:val="24"/>
        </w:rPr>
        <w:t xml:space="preserve"> </w:t>
      </w:r>
      <w:r w:rsidRPr="001B336C">
        <w:rPr>
          <w:rFonts w:cstheme="minorHAnsi"/>
          <w:sz w:val="24"/>
          <w:szCs w:val="24"/>
        </w:rPr>
        <w:t xml:space="preserve">Unfortunately, most individuals around the globe have had both exposures and </w:t>
      </w:r>
      <w:r w:rsidR="004A6BF2" w:rsidRPr="001B336C">
        <w:rPr>
          <w:rFonts w:cstheme="minorHAnsi"/>
          <w:sz w:val="24"/>
          <w:szCs w:val="24"/>
        </w:rPr>
        <w:t>with</w:t>
      </w:r>
      <w:r w:rsidRPr="001B336C">
        <w:rPr>
          <w:rFonts w:cstheme="minorHAnsi"/>
          <w:sz w:val="24"/>
          <w:szCs w:val="24"/>
        </w:rPr>
        <w:t xml:space="preserve"> multiple occurrences.</w:t>
      </w:r>
      <w:r w:rsidR="00742BAB" w:rsidRPr="001B336C">
        <w:rPr>
          <w:rFonts w:cstheme="minorHAnsi"/>
          <w:sz w:val="24"/>
          <w:szCs w:val="24"/>
        </w:rPr>
        <w:t xml:space="preserve"> </w:t>
      </w:r>
    </w:p>
    <w:p w14:paraId="6C77FF9C" w14:textId="4ACA2DEF" w:rsidR="007B535C" w:rsidRPr="001B336C" w:rsidRDefault="007B535C" w:rsidP="00742BAB">
      <w:pPr>
        <w:spacing w:after="0"/>
        <w:ind w:firstLine="720"/>
        <w:rPr>
          <w:rFonts w:cstheme="minorHAnsi"/>
          <w:sz w:val="24"/>
          <w:szCs w:val="24"/>
        </w:rPr>
      </w:pPr>
      <w:r w:rsidRPr="001B336C">
        <w:rPr>
          <w:rFonts w:cstheme="minorHAnsi"/>
          <w:sz w:val="24"/>
          <w:szCs w:val="24"/>
        </w:rPr>
        <w:t>The duration of therapy and the impact on clinical outcomes such as quality of life, symptom scores, hospitalization</w:t>
      </w:r>
      <w:r w:rsidR="00C94326" w:rsidRPr="001B336C">
        <w:rPr>
          <w:rFonts w:cstheme="minorHAnsi"/>
          <w:sz w:val="24"/>
          <w:szCs w:val="24"/>
        </w:rPr>
        <w:t>,</w:t>
      </w:r>
      <w:r w:rsidRPr="001B336C">
        <w:rPr>
          <w:rFonts w:cstheme="minorHAnsi"/>
          <w:sz w:val="24"/>
          <w:szCs w:val="24"/>
        </w:rPr>
        <w:t xml:space="preserve"> and death are unknown.</w:t>
      </w:r>
      <w:r w:rsidR="00742BAB" w:rsidRPr="001B336C">
        <w:rPr>
          <w:rFonts w:cstheme="minorHAnsi"/>
          <w:sz w:val="24"/>
          <w:szCs w:val="24"/>
        </w:rPr>
        <w:t xml:space="preserve"> </w:t>
      </w:r>
      <w:r w:rsidR="00C94326" w:rsidRPr="001B336C">
        <w:rPr>
          <w:rFonts w:cstheme="minorHAnsi"/>
          <w:sz w:val="24"/>
          <w:szCs w:val="24"/>
        </w:rPr>
        <w:t>Thus,</w:t>
      </w:r>
      <w:r w:rsidRPr="001B336C">
        <w:rPr>
          <w:rFonts w:cstheme="minorHAnsi"/>
          <w:sz w:val="24"/>
          <w:szCs w:val="24"/>
        </w:rPr>
        <w:t xml:space="preserve"> no therapeutic claims can be made until large prospective randomized </w:t>
      </w:r>
      <w:r w:rsidR="00797BAA" w:rsidRPr="001B336C">
        <w:rPr>
          <w:rFonts w:cstheme="minorHAnsi"/>
          <w:sz w:val="24"/>
          <w:szCs w:val="24"/>
        </w:rPr>
        <w:t>double-blind</w:t>
      </w:r>
      <w:r w:rsidRPr="001B336C">
        <w:rPr>
          <w:rFonts w:cstheme="minorHAnsi"/>
          <w:sz w:val="24"/>
          <w:szCs w:val="24"/>
        </w:rPr>
        <w:t xml:space="preserve"> placebo-controlled trials are completed.</w:t>
      </w:r>
      <w:r w:rsidR="00742BAB" w:rsidRPr="001B336C">
        <w:rPr>
          <w:rFonts w:cstheme="minorHAnsi"/>
          <w:sz w:val="24"/>
          <w:szCs w:val="24"/>
        </w:rPr>
        <w:t xml:space="preserve"> </w:t>
      </w:r>
      <w:r w:rsidRPr="001B336C">
        <w:rPr>
          <w:rFonts w:cstheme="minorHAnsi"/>
          <w:sz w:val="24"/>
          <w:szCs w:val="24"/>
        </w:rPr>
        <w:t>A check of clinicaltrials.gov indicates</w:t>
      </w:r>
      <w:r w:rsidR="00C94326" w:rsidRPr="001B336C">
        <w:rPr>
          <w:rFonts w:cstheme="minorHAnsi"/>
          <w:sz w:val="24"/>
          <w:szCs w:val="24"/>
        </w:rPr>
        <w:t xml:space="preserve"> that</w:t>
      </w:r>
      <w:r w:rsidRPr="001B336C">
        <w:rPr>
          <w:rFonts w:cstheme="minorHAnsi"/>
          <w:sz w:val="24"/>
          <w:szCs w:val="24"/>
        </w:rPr>
        <w:t xml:space="preserve"> no such trials </w:t>
      </w:r>
      <w:r w:rsidR="00797BAA" w:rsidRPr="001B336C">
        <w:rPr>
          <w:rFonts w:cstheme="minorHAnsi"/>
          <w:sz w:val="24"/>
          <w:szCs w:val="24"/>
        </w:rPr>
        <w:t>yet</w:t>
      </w:r>
      <w:r w:rsidRPr="001B336C">
        <w:rPr>
          <w:rFonts w:cstheme="minorHAnsi"/>
          <w:sz w:val="24"/>
          <w:szCs w:val="24"/>
        </w:rPr>
        <w:t xml:space="preserve"> have been registered.</w:t>
      </w:r>
      <w:r w:rsidR="00742BAB" w:rsidRPr="001B336C">
        <w:rPr>
          <w:rFonts w:cstheme="minorHAnsi"/>
          <w:sz w:val="24"/>
          <w:szCs w:val="24"/>
        </w:rPr>
        <w:t xml:space="preserve"> </w:t>
      </w:r>
      <w:r w:rsidRPr="001B336C">
        <w:rPr>
          <w:rFonts w:cstheme="minorHAnsi"/>
          <w:sz w:val="24"/>
          <w:szCs w:val="24"/>
        </w:rPr>
        <w:t>In the meantime, based on signals of benefit and acceptable safety, the triad of nattokinase</w:t>
      </w:r>
      <w:r w:rsidR="00797BAA" w:rsidRPr="001B336C">
        <w:rPr>
          <w:rFonts w:cstheme="minorHAnsi"/>
          <w:sz w:val="24"/>
          <w:szCs w:val="24"/>
        </w:rPr>
        <w:t xml:space="preserve"> 2</w:t>
      </w:r>
      <w:r w:rsidR="00DD24CC" w:rsidRPr="001B336C">
        <w:rPr>
          <w:rFonts w:cstheme="minorHAnsi"/>
          <w:sz w:val="24"/>
          <w:szCs w:val="24"/>
        </w:rPr>
        <w:t>,</w:t>
      </w:r>
      <w:r w:rsidR="00797BAA" w:rsidRPr="001B336C">
        <w:rPr>
          <w:rFonts w:cstheme="minorHAnsi"/>
          <w:sz w:val="24"/>
          <w:szCs w:val="24"/>
        </w:rPr>
        <w:t>000 FU (100 mg) twice daily</w:t>
      </w:r>
      <w:r w:rsidRPr="001B336C">
        <w:rPr>
          <w:rFonts w:cstheme="minorHAnsi"/>
          <w:sz w:val="24"/>
          <w:szCs w:val="24"/>
        </w:rPr>
        <w:t>, bromelain</w:t>
      </w:r>
      <w:r w:rsidR="00797BAA" w:rsidRPr="001B336C">
        <w:rPr>
          <w:rFonts w:cstheme="minorHAnsi"/>
          <w:sz w:val="24"/>
          <w:szCs w:val="24"/>
        </w:rPr>
        <w:t xml:space="preserve"> 500 mg a day</w:t>
      </w:r>
      <w:r w:rsidRPr="001B336C">
        <w:rPr>
          <w:rFonts w:cstheme="minorHAnsi"/>
          <w:sz w:val="24"/>
          <w:szCs w:val="24"/>
        </w:rPr>
        <w:t xml:space="preserve">, and </w:t>
      </w:r>
      <w:r w:rsidR="00797BAA" w:rsidRPr="001B336C">
        <w:rPr>
          <w:rFonts w:cstheme="minorHAnsi"/>
          <w:sz w:val="24"/>
          <w:szCs w:val="24"/>
        </w:rPr>
        <w:t>nano-</w:t>
      </w:r>
      <w:r w:rsidRPr="001B336C">
        <w:rPr>
          <w:rFonts w:cstheme="minorHAnsi"/>
          <w:sz w:val="24"/>
          <w:szCs w:val="24"/>
        </w:rPr>
        <w:t>curcumin</w:t>
      </w:r>
      <w:r w:rsidR="00797BAA" w:rsidRPr="001B336C">
        <w:rPr>
          <w:rFonts w:cstheme="minorHAnsi"/>
          <w:sz w:val="24"/>
          <w:szCs w:val="24"/>
        </w:rPr>
        <w:t xml:space="preserve"> 500 mg twice daily</w:t>
      </w:r>
      <w:r w:rsidRPr="001B336C">
        <w:rPr>
          <w:rFonts w:cstheme="minorHAnsi"/>
          <w:sz w:val="24"/>
          <w:szCs w:val="24"/>
        </w:rPr>
        <w:t xml:space="preserve"> for at least 3 months</w:t>
      </w:r>
      <w:r w:rsidR="00C12D26" w:rsidRPr="001B336C">
        <w:rPr>
          <w:rFonts w:cstheme="minorHAnsi"/>
          <w:sz w:val="24"/>
          <w:szCs w:val="24"/>
        </w:rPr>
        <w:t xml:space="preserve"> with continuation for a year or more</w:t>
      </w:r>
      <w:r w:rsidR="00017A39" w:rsidRPr="001B336C">
        <w:rPr>
          <w:rFonts w:cstheme="minorHAnsi"/>
          <w:sz w:val="24"/>
          <w:szCs w:val="24"/>
        </w:rPr>
        <w:t xml:space="preserve">, </w:t>
      </w:r>
      <w:r w:rsidR="00C94326" w:rsidRPr="001B336C">
        <w:rPr>
          <w:rFonts w:cstheme="minorHAnsi"/>
          <w:sz w:val="24"/>
          <w:szCs w:val="24"/>
        </w:rPr>
        <w:t xml:space="preserve">as a </w:t>
      </w:r>
      <w:r w:rsidR="00017A39" w:rsidRPr="001B336C">
        <w:rPr>
          <w:rFonts w:cstheme="minorHAnsi"/>
          <w:sz w:val="24"/>
          <w:szCs w:val="24"/>
        </w:rPr>
        <w:t xml:space="preserve">base </w:t>
      </w:r>
      <w:r w:rsidR="00C94326" w:rsidRPr="001B336C">
        <w:rPr>
          <w:rFonts w:cstheme="minorHAnsi"/>
          <w:sz w:val="24"/>
          <w:szCs w:val="24"/>
        </w:rPr>
        <w:t>det</w:t>
      </w:r>
      <w:r w:rsidR="00445BC9" w:rsidRPr="001B336C">
        <w:rPr>
          <w:rFonts w:cstheme="minorHAnsi"/>
          <w:sz w:val="24"/>
          <w:szCs w:val="24"/>
        </w:rPr>
        <w:t xml:space="preserve">oxification regimen </w:t>
      </w:r>
      <w:r w:rsidR="00017A39" w:rsidRPr="001B336C">
        <w:rPr>
          <w:rFonts w:cstheme="minorHAnsi"/>
          <w:sz w:val="24"/>
          <w:szCs w:val="24"/>
        </w:rPr>
        <w:t>upon which additional agents can be added,</w:t>
      </w:r>
      <w:r w:rsidRPr="001B336C">
        <w:rPr>
          <w:rFonts w:cstheme="minorHAnsi"/>
          <w:sz w:val="24"/>
          <w:szCs w:val="24"/>
        </w:rPr>
        <w:t xml:space="preserve"> is a reasonable </w:t>
      </w:r>
      <w:r w:rsidR="00445BC9" w:rsidRPr="001B336C">
        <w:rPr>
          <w:rFonts w:cstheme="minorHAnsi"/>
          <w:sz w:val="24"/>
          <w:szCs w:val="24"/>
        </w:rPr>
        <w:t>empiric</w:t>
      </w:r>
      <w:r w:rsidRPr="001B336C">
        <w:rPr>
          <w:rFonts w:cstheme="minorHAnsi"/>
          <w:sz w:val="24"/>
          <w:szCs w:val="24"/>
        </w:rPr>
        <w:t xml:space="preserve"> strategy for those suffering with post COVID-19 or vaccine</w:t>
      </w:r>
      <w:r w:rsidR="00C94326" w:rsidRPr="001B336C">
        <w:rPr>
          <w:rFonts w:cstheme="minorHAnsi"/>
          <w:sz w:val="24"/>
          <w:szCs w:val="24"/>
        </w:rPr>
        <w:t>-</w:t>
      </w:r>
      <w:r w:rsidRPr="001B336C">
        <w:rPr>
          <w:rFonts w:cstheme="minorHAnsi"/>
          <w:sz w:val="24"/>
          <w:szCs w:val="24"/>
        </w:rPr>
        <w:t>associated symptoms.</w:t>
      </w:r>
      <w:r w:rsidR="00742BAB" w:rsidRPr="001B336C">
        <w:rPr>
          <w:rFonts w:cstheme="minorHAnsi"/>
          <w:sz w:val="24"/>
          <w:szCs w:val="24"/>
        </w:rPr>
        <w:t xml:space="preserve"> </w:t>
      </w:r>
      <w:r w:rsidR="00445BC9" w:rsidRPr="001B336C">
        <w:rPr>
          <w:rFonts w:cstheme="minorHAnsi"/>
          <w:sz w:val="24"/>
          <w:szCs w:val="24"/>
        </w:rPr>
        <w:t xml:space="preserve">Clinicians should recognize this combination has significant anticoagulant effects that will be potentially counterbalanced by the pro-coagulant effects of </w:t>
      </w:r>
      <w:r w:rsidR="000541B6" w:rsidRPr="001B336C">
        <w:rPr>
          <w:rFonts w:cstheme="minorHAnsi"/>
          <w:sz w:val="24"/>
          <w:szCs w:val="24"/>
        </w:rPr>
        <w:t>spike</w:t>
      </w:r>
      <w:r w:rsidR="00445BC9" w:rsidRPr="001B336C">
        <w:rPr>
          <w:rFonts w:cstheme="minorHAnsi"/>
          <w:sz w:val="24"/>
          <w:szCs w:val="24"/>
        </w:rPr>
        <w:t xml:space="preserve"> protein.</w:t>
      </w:r>
      <w:r w:rsidR="00742BAB" w:rsidRPr="001B336C">
        <w:rPr>
          <w:rFonts w:cstheme="minorHAnsi"/>
          <w:sz w:val="24"/>
          <w:szCs w:val="24"/>
        </w:rPr>
        <w:t xml:space="preserve"> </w:t>
      </w:r>
      <w:r w:rsidR="00445BC9" w:rsidRPr="001B336C">
        <w:rPr>
          <w:rFonts w:cstheme="minorHAnsi"/>
          <w:sz w:val="24"/>
          <w:szCs w:val="24"/>
        </w:rPr>
        <w:t>Patients should be counseled and monitored for bleeding complications including easy bruising, nasal mucosal bleeding, and gastrointestinal hemorrhage.</w:t>
      </w:r>
      <w:r w:rsidR="00742BAB" w:rsidRPr="001B336C">
        <w:rPr>
          <w:rFonts w:cstheme="minorHAnsi"/>
          <w:sz w:val="24"/>
          <w:szCs w:val="24"/>
        </w:rPr>
        <w:t xml:space="preserve"> </w:t>
      </w:r>
    </w:p>
    <w:p w14:paraId="1E3E1080" w14:textId="542DECEC" w:rsidR="0019376E" w:rsidRPr="001B336C" w:rsidRDefault="0019376E" w:rsidP="003E2D4F">
      <w:pPr>
        <w:spacing w:after="0"/>
        <w:rPr>
          <w:rFonts w:cstheme="minorHAnsi"/>
          <w:b/>
          <w:bCs/>
          <w:sz w:val="24"/>
          <w:szCs w:val="24"/>
        </w:rPr>
      </w:pPr>
    </w:p>
    <w:p w14:paraId="139F3437" w14:textId="7EB2C3A1" w:rsidR="00C12D26" w:rsidRPr="001B336C" w:rsidRDefault="00C12D26" w:rsidP="003E2D4F">
      <w:pPr>
        <w:spacing w:after="0"/>
        <w:rPr>
          <w:rFonts w:cstheme="minorHAnsi"/>
          <w:sz w:val="24"/>
          <w:szCs w:val="24"/>
        </w:rPr>
      </w:pPr>
      <w:r w:rsidRPr="001B336C">
        <w:rPr>
          <w:rFonts w:cstheme="minorHAnsi"/>
          <w:b/>
          <w:bCs/>
          <w:sz w:val="24"/>
          <w:szCs w:val="24"/>
        </w:rPr>
        <w:t>Conclusion</w:t>
      </w:r>
    </w:p>
    <w:p w14:paraId="691E10D8" w14:textId="77777777" w:rsidR="00C12D26" w:rsidRPr="001B336C" w:rsidRDefault="00C12D26" w:rsidP="003E2D4F">
      <w:pPr>
        <w:spacing w:after="0"/>
        <w:rPr>
          <w:rFonts w:cstheme="minorHAnsi"/>
          <w:sz w:val="24"/>
          <w:szCs w:val="24"/>
        </w:rPr>
      </w:pPr>
    </w:p>
    <w:p w14:paraId="5FDDFB37" w14:textId="58A06EEC" w:rsidR="00C12D26" w:rsidRPr="001B336C" w:rsidRDefault="00C12D26" w:rsidP="003E2D4F">
      <w:pPr>
        <w:spacing w:after="0"/>
        <w:rPr>
          <w:rFonts w:cstheme="minorHAnsi"/>
          <w:sz w:val="24"/>
          <w:szCs w:val="24"/>
        </w:rPr>
      </w:pPr>
      <w:r w:rsidRPr="001B336C">
        <w:rPr>
          <w:rFonts w:cstheme="minorHAnsi"/>
          <w:sz w:val="24"/>
          <w:szCs w:val="24"/>
        </w:rPr>
        <w:tab/>
        <w:t>Chronic disabling symptoms from “long COVID” and following mRNA injections are an increasing</w:t>
      </w:r>
      <w:r w:rsidR="00714267" w:rsidRPr="001B336C">
        <w:rPr>
          <w:rFonts w:cstheme="minorHAnsi"/>
          <w:sz w:val="24"/>
          <w:szCs w:val="24"/>
        </w:rPr>
        <w:t>ly prevalent</w:t>
      </w:r>
      <w:r w:rsidRPr="001B336C">
        <w:rPr>
          <w:rFonts w:cstheme="minorHAnsi"/>
          <w:sz w:val="24"/>
          <w:szCs w:val="24"/>
        </w:rPr>
        <w:t xml:space="preserve"> problem. The symptomatic presentation has many common features, which might be explained by the spike protein of the virus, which is also manufactured by the vaccinee’s own cells. There is no accepted protocol for treatment</w:t>
      </w:r>
      <w:r w:rsidR="00714267" w:rsidRPr="001B336C">
        <w:rPr>
          <w:rFonts w:cstheme="minorHAnsi"/>
          <w:sz w:val="24"/>
          <w:szCs w:val="24"/>
        </w:rPr>
        <w:t>. Based on their mechanisms of action, a combination of nattokinase, bromelain, and curcumin should be considered. Patients need close monitoring because of anticoagulant effects. Formal clinical trials are urgently needed.</w:t>
      </w:r>
    </w:p>
    <w:p w14:paraId="3FAF1309" w14:textId="77777777" w:rsidR="00714267" w:rsidRPr="001B336C" w:rsidRDefault="00714267" w:rsidP="003E2D4F">
      <w:pPr>
        <w:spacing w:after="0"/>
        <w:rPr>
          <w:rFonts w:cstheme="minorHAnsi"/>
          <w:sz w:val="24"/>
          <w:szCs w:val="24"/>
        </w:rPr>
      </w:pPr>
    </w:p>
    <w:p w14:paraId="7A792822" w14:textId="1DDB927E" w:rsidR="00714267" w:rsidRPr="001B336C" w:rsidRDefault="00714267" w:rsidP="003E2D4F">
      <w:pPr>
        <w:spacing w:after="0"/>
        <w:rPr>
          <w:rFonts w:cstheme="minorHAnsi"/>
          <w:sz w:val="24"/>
          <w:szCs w:val="24"/>
        </w:rPr>
      </w:pPr>
      <w:r w:rsidRPr="001B336C">
        <w:rPr>
          <w:rFonts w:cstheme="minorHAnsi"/>
          <w:b/>
          <w:bCs/>
          <w:sz w:val="24"/>
          <w:szCs w:val="24"/>
        </w:rPr>
        <w:t>Peter A. McCullough, M.D., M.P.H.,</w:t>
      </w:r>
      <w:r w:rsidRPr="001B336C">
        <w:rPr>
          <w:rFonts w:cstheme="minorHAnsi"/>
          <w:sz w:val="24"/>
          <w:szCs w:val="24"/>
        </w:rPr>
        <w:t xml:space="preserve"> an internist and cardiologist,</w:t>
      </w:r>
      <w:r w:rsidR="001E104F" w:rsidRPr="001B336C">
        <w:rPr>
          <w:rFonts w:cstheme="minorHAnsi"/>
          <w:sz w:val="24"/>
          <w:szCs w:val="24"/>
        </w:rPr>
        <w:t xml:space="preserve"> is president of the</w:t>
      </w:r>
      <w:r w:rsidRPr="001B336C">
        <w:rPr>
          <w:rFonts w:cstheme="minorHAnsi"/>
          <w:sz w:val="24"/>
          <w:szCs w:val="24"/>
        </w:rPr>
        <w:t xml:space="preserve"> McCullough Foundation</w:t>
      </w:r>
      <w:r w:rsidR="00C86AD6" w:rsidRPr="001B336C">
        <w:rPr>
          <w:rFonts w:cstheme="minorHAnsi"/>
          <w:b/>
          <w:bCs/>
          <w:sz w:val="24"/>
          <w:szCs w:val="24"/>
        </w:rPr>
        <w:t>; Cade Wynn</w:t>
      </w:r>
      <w:r w:rsidR="00C86AD6" w:rsidRPr="001B336C">
        <w:rPr>
          <w:rFonts w:cstheme="minorHAnsi"/>
          <w:sz w:val="24"/>
          <w:szCs w:val="24"/>
        </w:rPr>
        <w:t xml:space="preserve"> works </w:t>
      </w:r>
      <w:r w:rsidR="001E104F" w:rsidRPr="001B336C">
        <w:rPr>
          <w:rFonts w:cstheme="minorHAnsi"/>
          <w:sz w:val="24"/>
          <w:szCs w:val="24"/>
        </w:rPr>
        <w:t>as an assistant with McKinney Family Medicine</w:t>
      </w:r>
      <w:r w:rsidR="00C86AD6" w:rsidRPr="001B336C">
        <w:rPr>
          <w:rFonts w:cstheme="minorHAnsi"/>
          <w:sz w:val="24"/>
          <w:szCs w:val="24"/>
        </w:rPr>
        <w:t xml:space="preserve">; </w:t>
      </w:r>
      <w:r w:rsidR="00C86AD6" w:rsidRPr="001B336C">
        <w:rPr>
          <w:rFonts w:cstheme="minorHAnsi"/>
          <w:b/>
          <w:bCs/>
          <w:sz w:val="24"/>
          <w:szCs w:val="24"/>
        </w:rPr>
        <w:t>Brian C. Procter, M.D.,</w:t>
      </w:r>
      <w:r w:rsidR="00C86AD6" w:rsidRPr="001B336C">
        <w:rPr>
          <w:rFonts w:cstheme="minorHAnsi"/>
          <w:sz w:val="24"/>
          <w:szCs w:val="24"/>
        </w:rPr>
        <w:t xml:space="preserve"> </w:t>
      </w:r>
      <w:r w:rsidR="0000502A" w:rsidRPr="001B336C">
        <w:rPr>
          <w:rFonts w:cstheme="minorHAnsi"/>
          <w:sz w:val="24"/>
          <w:szCs w:val="24"/>
        </w:rPr>
        <w:t xml:space="preserve">founder of McKinney Family Medicine, </w:t>
      </w:r>
      <w:r w:rsidR="00C86AD6" w:rsidRPr="001B336C">
        <w:rPr>
          <w:rFonts w:cstheme="minorHAnsi"/>
          <w:sz w:val="24"/>
          <w:szCs w:val="24"/>
        </w:rPr>
        <w:t xml:space="preserve">is a family physician </w:t>
      </w:r>
      <w:r w:rsidR="0000502A" w:rsidRPr="001B336C">
        <w:rPr>
          <w:rFonts w:cstheme="minorHAnsi"/>
          <w:sz w:val="24"/>
          <w:szCs w:val="24"/>
        </w:rPr>
        <w:t>p</w:t>
      </w:r>
      <w:r w:rsidR="00C86AD6" w:rsidRPr="001B336C">
        <w:rPr>
          <w:rFonts w:cstheme="minorHAnsi"/>
          <w:sz w:val="24"/>
          <w:szCs w:val="24"/>
        </w:rPr>
        <w:t>racticing in McKinney, Texas.</w:t>
      </w:r>
      <w:r w:rsidRPr="001B336C">
        <w:rPr>
          <w:rFonts w:cstheme="minorHAnsi"/>
          <w:sz w:val="24"/>
          <w:szCs w:val="24"/>
        </w:rPr>
        <w:t xml:space="preserve"> </w:t>
      </w:r>
      <w:r w:rsidR="00DD24CC" w:rsidRPr="001B336C">
        <w:rPr>
          <w:rFonts w:cstheme="minorHAnsi"/>
          <w:sz w:val="24"/>
          <w:szCs w:val="24"/>
        </w:rPr>
        <w:t>Contact: peteramccullough@gmail.com.</w:t>
      </w:r>
    </w:p>
    <w:p w14:paraId="34D13964" w14:textId="77777777" w:rsidR="0019376E" w:rsidRPr="001B336C" w:rsidRDefault="0019376E" w:rsidP="003E2D4F">
      <w:pPr>
        <w:spacing w:after="0"/>
        <w:rPr>
          <w:rFonts w:cstheme="minorHAnsi"/>
          <w:b/>
          <w:bCs/>
          <w:sz w:val="24"/>
          <w:szCs w:val="24"/>
        </w:rPr>
      </w:pPr>
    </w:p>
    <w:p w14:paraId="056ED69A" w14:textId="1F557F6E" w:rsidR="00192D62" w:rsidRPr="001B336C" w:rsidRDefault="0019376E" w:rsidP="003E2D4F">
      <w:pPr>
        <w:spacing w:after="0"/>
        <w:rPr>
          <w:rFonts w:cstheme="minorHAnsi"/>
          <w:sz w:val="24"/>
          <w:szCs w:val="24"/>
        </w:rPr>
      </w:pPr>
      <w:r w:rsidRPr="001B336C">
        <w:rPr>
          <w:rFonts w:cstheme="minorHAnsi"/>
          <w:b/>
          <w:bCs/>
          <w:sz w:val="24"/>
          <w:szCs w:val="24"/>
        </w:rPr>
        <w:t>D</w:t>
      </w:r>
      <w:r w:rsidR="00192D62" w:rsidRPr="001B336C">
        <w:rPr>
          <w:rFonts w:cstheme="minorHAnsi"/>
          <w:b/>
          <w:bCs/>
          <w:sz w:val="24"/>
          <w:szCs w:val="24"/>
        </w:rPr>
        <w:t>isclosures</w:t>
      </w:r>
      <w:r w:rsidR="00E5536F" w:rsidRPr="001B336C">
        <w:rPr>
          <w:rFonts w:cstheme="minorHAnsi"/>
          <w:b/>
          <w:bCs/>
          <w:sz w:val="24"/>
          <w:szCs w:val="24"/>
        </w:rPr>
        <w:t xml:space="preserve">: </w:t>
      </w:r>
      <w:r w:rsidR="00192D62" w:rsidRPr="001B336C">
        <w:rPr>
          <w:rFonts w:cstheme="minorHAnsi"/>
          <w:sz w:val="24"/>
          <w:szCs w:val="24"/>
        </w:rPr>
        <w:t xml:space="preserve">Dr. McCullough receives partial salary support and </w:t>
      </w:r>
      <w:r w:rsidR="001418D2" w:rsidRPr="001B336C">
        <w:rPr>
          <w:rFonts w:cstheme="minorHAnsi"/>
          <w:sz w:val="24"/>
          <w:szCs w:val="24"/>
        </w:rPr>
        <w:t>hold</w:t>
      </w:r>
      <w:r w:rsidR="00BF31D0" w:rsidRPr="001B336C">
        <w:rPr>
          <w:rFonts w:cstheme="minorHAnsi"/>
          <w:sz w:val="24"/>
          <w:szCs w:val="24"/>
        </w:rPr>
        <w:t>s</w:t>
      </w:r>
      <w:r w:rsidR="001418D2" w:rsidRPr="001B336C">
        <w:rPr>
          <w:rFonts w:cstheme="minorHAnsi"/>
          <w:sz w:val="24"/>
          <w:szCs w:val="24"/>
        </w:rPr>
        <w:t xml:space="preserve"> an </w:t>
      </w:r>
      <w:r w:rsidR="00192D62" w:rsidRPr="001B336C">
        <w:rPr>
          <w:rFonts w:cstheme="minorHAnsi"/>
          <w:sz w:val="24"/>
          <w:szCs w:val="24"/>
        </w:rPr>
        <w:t>equity</w:t>
      </w:r>
      <w:r w:rsidR="001418D2" w:rsidRPr="001B336C">
        <w:rPr>
          <w:rFonts w:cstheme="minorHAnsi"/>
          <w:sz w:val="24"/>
          <w:szCs w:val="24"/>
        </w:rPr>
        <w:t xml:space="preserve"> position </w:t>
      </w:r>
      <w:r w:rsidR="00192D62" w:rsidRPr="001B336C">
        <w:rPr>
          <w:rFonts w:cstheme="minorHAnsi"/>
          <w:sz w:val="24"/>
          <w:szCs w:val="24"/>
        </w:rPr>
        <w:t>in The Wellness Company, Boca Raton, F</w:t>
      </w:r>
      <w:r w:rsidR="00E5536F" w:rsidRPr="001B336C">
        <w:rPr>
          <w:rFonts w:cstheme="minorHAnsi"/>
          <w:sz w:val="24"/>
          <w:szCs w:val="24"/>
        </w:rPr>
        <w:t xml:space="preserve">la. The Wellness Company </w:t>
      </w:r>
      <w:r w:rsidR="00240412" w:rsidRPr="001B336C">
        <w:rPr>
          <w:rFonts w:cstheme="minorHAnsi"/>
          <w:sz w:val="24"/>
          <w:szCs w:val="24"/>
        </w:rPr>
        <w:t xml:space="preserve">markets dietary supplements, including </w:t>
      </w:r>
      <w:r w:rsidR="0000502A" w:rsidRPr="001B336C">
        <w:rPr>
          <w:rFonts w:cstheme="minorHAnsi"/>
          <w:sz w:val="24"/>
          <w:szCs w:val="24"/>
        </w:rPr>
        <w:t xml:space="preserve">Spike Support, which contains </w:t>
      </w:r>
      <w:r w:rsidR="00240412" w:rsidRPr="001B336C">
        <w:rPr>
          <w:rFonts w:cstheme="minorHAnsi"/>
          <w:sz w:val="24"/>
          <w:szCs w:val="24"/>
        </w:rPr>
        <w:t>nattokinas</w:t>
      </w:r>
      <w:r w:rsidR="0000502A" w:rsidRPr="001B336C">
        <w:rPr>
          <w:rFonts w:cstheme="minorHAnsi"/>
          <w:sz w:val="24"/>
          <w:szCs w:val="24"/>
        </w:rPr>
        <w:t>e among multiple ingredients.</w:t>
      </w:r>
    </w:p>
    <w:p w14:paraId="0D95B4FF" w14:textId="77777777" w:rsidR="00926A32" w:rsidRPr="001B336C" w:rsidRDefault="00926A32" w:rsidP="003E2D4F">
      <w:pPr>
        <w:spacing w:after="0"/>
        <w:rPr>
          <w:rFonts w:cstheme="minorHAnsi"/>
          <w:sz w:val="24"/>
          <w:szCs w:val="24"/>
        </w:rPr>
      </w:pPr>
    </w:p>
    <w:p w14:paraId="11F6F1A3" w14:textId="77777777" w:rsidR="00B065F0" w:rsidRPr="001B336C" w:rsidRDefault="00B065F0" w:rsidP="003E2D4F">
      <w:pPr>
        <w:spacing w:after="0"/>
        <w:rPr>
          <w:rFonts w:cstheme="minorHAnsi"/>
          <w:sz w:val="24"/>
          <w:szCs w:val="24"/>
        </w:rPr>
      </w:pPr>
    </w:p>
    <w:p w14:paraId="1AE2C76B" w14:textId="06391C0E" w:rsidR="004562A5" w:rsidRPr="003E2D4F" w:rsidRDefault="00C94326" w:rsidP="003E2D4F">
      <w:pPr>
        <w:spacing w:after="0"/>
        <w:rPr>
          <w:rFonts w:cstheme="minorHAnsi"/>
          <w:b/>
          <w:bCs/>
          <w:sz w:val="24"/>
          <w:szCs w:val="24"/>
        </w:rPr>
      </w:pPr>
      <w:r w:rsidRPr="001B336C">
        <w:rPr>
          <w:rFonts w:cstheme="minorHAnsi"/>
          <w:b/>
          <w:bCs/>
          <w:sz w:val="24"/>
          <w:szCs w:val="24"/>
        </w:rPr>
        <w:t>REFERENCES</w:t>
      </w:r>
    </w:p>
    <w:p w14:paraId="6467F7F3" w14:textId="4F14A12C" w:rsidR="00293D4D" w:rsidRPr="003E2D4F" w:rsidRDefault="00293D4D" w:rsidP="003E2D4F">
      <w:pPr>
        <w:spacing w:after="0"/>
        <w:rPr>
          <w:rFonts w:cstheme="minorHAnsi"/>
          <w:sz w:val="24"/>
          <w:szCs w:val="24"/>
        </w:rPr>
      </w:pPr>
    </w:p>
    <w:sectPr w:rsidR="00293D4D" w:rsidRPr="003E2D4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6F35" w14:textId="77777777" w:rsidR="008B612C" w:rsidRDefault="008B612C" w:rsidP="00583A87">
      <w:pPr>
        <w:spacing w:after="0" w:line="240" w:lineRule="auto"/>
      </w:pPr>
      <w:r>
        <w:separator/>
      </w:r>
    </w:p>
  </w:endnote>
  <w:endnote w:type="continuationSeparator" w:id="0">
    <w:p w14:paraId="2B2B691C" w14:textId="77777777" w:rsidR="008B612C" w:rsidRDefault="008B612C" w:rsidP="00583A87">
      <w:pPr>
        <w:spacing w:after="0" w:line="240" w:lineRule="auto"/>
      </w:pPr>
      <w:r>
        <w:continuationSeparator/>
      </w:r>
    </w:p>
  </w:endnote>
  <w:endnote w:id="1">
    <w:p w14:paraId="1A34F9C1" w14:textId="4EA19710" w:rsidR="00583A87" w:rsidRPr="003E2D4F" w:rsidRDefault="00583A87">
      <w:pPr>
        <w:pStyle w:val="EndnoteText"/>
        <w:rPr>
          <w:sz w:val="24"/>
          <w:szCs w:val="24"/>
        </w:rPr>
      </w:pPr>
      <w:r w:rsidRPr="003E2D4F">
        <w:rPr>
          <w:rStyle w:val="EndnoteReference"/>
          <w:sz w:val="24"/>
          <w:szCs w:val="24"/>
        </w:rPr>
        <w:endnoteRef/>
      </w:r>
      <w:r w:rsidRPr="003E2D4F">
        <w:rPr>
          <w:sz w:val="24"/>
          <w:szCs w:val="24"/>
        </w:rPr>
        <w:t xml:space="preserve"> Fraser R, Orta-Resendiz A, Mazein A, Dockrell DH. Upper respiratory tract mucosal immunity for SARS-CoV-2 vaccines. </w:t>
      </w:r>
      <w:r w:rsidRPr="003E2D4F">
        <w:rPr>
          <w:i/>
          <w:iCs/>
          <w:sz w:val="24"/>
          <w:szCs w:val="24"/>
        </w:rPr>
        <w:t>Trends Mol Med</w:t>
      </w:r>
      <w:r w:rsidRPr="003E2D4F">
        <w:rPr>
          <w:sz w:val="24"/>
          <w:szCs w:val="24"/>
        </w:rPr>
        <w:t xml:space="preserve"> 2023;29:255-267.</w:t>
      </w:r>
    </w:p>
  </w:endnote>
  <w:endnote w:id="2">
    <w:p w14:paraId="674C9385" w14:textId="5B90DFC6" w:rsidR="00810A38" w:rsidRPr="003E2D4F" w:rsidRDefault="00810A38">
      <w:pPr>
        <w:pStyle w:val="EndnoteText"/>
        <w:rPr>
          <w:sz w:val="24"/>
          <w:szCs w:val="24"/>
        </w:rPr>
      </w:pPr>
      <w:r w:rsidRPr="003E2D4F">
        <w:rPr>
          <w:rStyle w:val="EndnoteReference"/>
          <w:sz w:val="24"/>
          <w:szCs w:val="24"/>
        </w:rPr>
        <w:endnoteRef/>
      </w:r>
      <w:r w:rsidRPr="00A602A0">
        <w:rPr>
          <w:sz w:val="24"/>
          <w:szCs w:val="24"/>
        </w:rPr>
        <w:t xml:space="preserve"> Patterson BK, Francisco EB, Yogendra R, </w:t>
      </w:r>
      <w:r w:rsidR="00240412" w:rsidRPr="00A602A0">
        <w:rPr>
          <w:sz w:val="24"/>
          <w:szCs w:val="24"/>
        </w:rPr>
        <w:t xml:space="preserve">et al. </w:t>
      </w:r>
      <w:r w:rsidRPr="003E2D4F">
        <w:rPr>
          <w:sz w:val="24"/>
          <w:szCs w:val="24"/>
        </w:rPr>
        <w:t xml:space="preserve">Persistence of SARS CoV-2 S1 </w:t>
      </w:r>
      <w:r w:rsidR="00DD24CC">
        <w:rPr>
          <w:sz w:val="24"/>
          <w:szCs w:val="24"/>
        </w:rPr>
        <w:t>p</w:t>
      </w:r>
      <w:r w:rsidRPr="003E2D4F">
        <w:rPr>
          <w:sz w:val="24"/>
          <w:szCs w:val="24"/>
        </w:rPr>
        <w:t xml:space="preserve">rotein in CD16+ </w:t>
      </w:r>
      <w:r w:rsidR="00DD24CC" w:rsidRPr="003E2D4F">
        <w:rPr>
          <w:sz w:val="24"/>
          <w:szCs w:val="24"/>
        </w:rPr>
        <w:t xml:space="preserve">monocytes in post-acute sequelae </w:t>
      </w:r>
      <w:r w:rsidRPr="003E2D4F">
        <w:rPr>
          <w:sz w:val="24"/>
          <w:szCs w:val="24"/>
        </w:rPr>
        <w:t xml:space="preserve">of COVID-19 (PASC) up to 15 </w:t>
      </w:r>
      <w:r w:rsidR="00DD24CC" w:rsidRPr="003E2D4F">
        <w:rPr>
          <w:sz w:val="24"/>
          <w:szCs w:val="24"/>
        </w:rPr>
        <w:t>months post-infection</w:t>
      </w:r>
      <w:r w:rsidRPr="003E2D4F">
        <w:rPr>
          <w:sz w:val="24"/>
          <w:szCs w:val="24"/>
        </w:rPr>
        <w:t xml:space="preserve">. </w:t>
      </w:r>
      <w:r w:rsidRPr="003E2D4F">
        <w:rPr>
          <w:i/>
          <w:iCs/>
          <w:sz w:val="24"/>
          <w:szCs w:val="24"/>
        </w:rPr>
        <w:t>Front Immunol</w:t>
      </w:r>
      <w:r w:rsidRPr="003E2D4F">
        <w:rPr>
          <w:sz w:val="24"/>
          <w:szCs w:val="24"/>
        </w:rPr>
        <w:t xml:space="preserve"> 2022;12:746.</w:t>
      </w:r>
    </w:p>
  </w:endnote>
  <w:endnote w:id="3">
    <w:p w14:paraId="18BE25CD" w14:textId="56957677" w:rsidR="00F96342" w:rsidRPr="003E2D4F" w:rsidRDefault="00F96342">
      <w:pPr>
        <w:pStyle w:val="EndnoteText"/>
        <w:rPr>
          <w:sz w:val="24"/>
          <w:szCs w:val="24"/>
        </w:rPr>
      </w:pPr>
      <w:r w:rsidRPr="003E2D4F">
        <w:rPr>
          <w:rStyle w:val="EndnoteReference"/>
          <w:sz w:val="24"/>
          <w:szCs w:val="24"/>
        </w:rPr>
        <w:endnoteRef/>
      </w:r>
      <w:r w:rsidRPr="003E2D4F">
        <w:rPr>
          <w:sz w:val="24"/>
          <w:szCs w:val="24"/>
        </w:rPr>
        <w:t xml:space="preserve"> Joung S, Weber B, Wu M, </w:t>
      </w:r>
      <w:r w:rsidR="00240412" w:rsidRPr="003E2D4F">
        <w:rPr>
          <w:sz w:val="24"/>
          <w:szCs w:val="24"/>
        </w:rPr>
        <w:t xml:space="preserve">et al. </w:t>
      </w:r>
      <w:r w:rsidRPr="003E2D4F">
        <w:rPr>
          <w:sz w:val="24"/>
          <w:szCs w:val="24"/>
        </w:rPr>
        <w:t xml:space="preserve">Serological response to vaccination in post-acute sequelae of COVID. </w:t>
      </w:r>
      <w:r w:rsidRPr="003E2D4F">
        <w:rPr>
          <w:i/>
          <w:iCs/>
          <w:sz w:val="24"/>
          <w:szCs w:val="24"/>
        </w:rPr>
        <w:t>BMC Infect Dis</w:t>
      </w:r>
      <w:r w:rsidRPr="003E2D4F">
        <w:rPr>
          <w:sz w:val="24"/>
          <w:szCs w:val="24"/>
        </w:rPr>
        <w:t xml:space="preserve"> 2023;23:97.</w:t>
      </w:r>
    </w:p>
  </w:endnote>
  <w:endnote w:id="4">
    <w:p w14:paraId="5F86D128" w14:textId="6F77B795" w:rsidR="00A432D8" w:rsidRPr="003E2D4F" w:rsidRDefault="00A432D8">
      <w:pPr>
        <w:pStyle w:val="EndnoteText"/>
        <w:rPr>
          <w:sz w:val="24"/>
          <w:szCs w:val="24"/>
        </w:rPr>
      </w:pPr>
      <w:r w:rsidRPr="003E2D4F">
        <w:rPr>
          <w:rStyle w:val="EndnoteReference"/>
          <w:sz w:val="24"/>
          <w:szCs w:val="24"/>
        </w:rPr>
        <w:endnoteRef/>
      </w:r>
      <w:r w:rsidRPr="00A602A0">
        <w:rPr>
          <w:sz w:val="24"/>
          <w:szCs w:val="24"/>
        </w:rPr>
        <w:t xml:space="preserve"> Yonker LM, Swank Z, Bartsch YC, </w:t>
      </w:r>
      <w:r w:rsidR="00240412" w:rsidRPr="00A602A0">
        <w:rPr>
          <w:sz w:val="24"/>
          <w:szCs w:val="24"/>
        </w:rPr>
        <w:t>et al.</w:t>
      </w:r>
      <w:r w:rsidRPr="00A602A0">
        <w:rPr>
          <w:sz w:val="24"/>
          <w:szCs w:val="24"/>
        </w:rPr>
        <w:t xml:space="preserve"> </w:t>
      </w:r>
      <w:r w:rsidRPr="003E2D4F">
        <w:rPr>
          <w:sz w:val="24"/>
          <w:szCs w:val="24"/>
        </w:rPr>
        <w:t xml:space="preserve">Circulating </w:t>
      </w:r>
      <w:r w:rsidR="00240412" w:rsidRPr="003E2D4F">
        <w:rPr>
          <w:sz w:val="24"/>
          <w:szCs w:val="24"/>
        </w:rPr>
        <w:t>spike protein detected in post</w:t>
      </w:r>
      <w:r w:rsidRPr="003E2D4F">
        <w:rPr>
          <w:sz w:val="24"/>
          <w:szCs w:val="24"/>
        </w:rPr>
        <w:t xml:space="preserve">-COVID-19 mRNA </w:t>
      </w:r>
      <w:r w:rsidR="00240412" w:rsidRPr="003E2D4F">
        <w:rPr>
          <w:sz w:val="24"/>
          <w:szCs w:val="24"/>
        </w:rPr>
        <w:t>vaccine myocarditis</w:t>
      </w:r>
      <w:r w:rsidRPr="003E2D4F">
        <w:rPr>
          <w:sz w:val="24"/>
          <w:szCs w:val="24"/>
        </w:rPr>
        <w:t xml:space="preserve">. </w:t>
      </w:r>
      <w:r w:rsidRPr="003E2D4F">
        <w:rPr>
          <w:i/>
          <w:iCs/>
          <w:sz w:val="24"/>
          <w:szCs w:val="24"/>
        </w:rPr>
        <w:t>Circulation</w:t>
      </w:r>
      <w:r w:rsidRPr="003E2D4F">
        <w:rPr>
          <w:sz w:val="24"/>
          <w:szCs w:val="24"/>
        </w:rPr>
        <w:t xml:space="preserve"> 2023;147:867-876.</w:t>
      </w:r>
    </w:p>
  </w:endnote>
  <w:endnote w:id="5">
    <w:p w14:paraId="326D9848" w14:textId="5F7AB351" w:rsidR="00293D4D" w:rsidRPr="003E2D4F" w:rsidRDefault="00293D4D">
      <w:pPr>
        <w:pStyle w:val="EndnoteText"/>
        <w:rPr>
          <w:sz w:val="24"/>
          <w:szCs w:val="24"/>
        </w:rPr>
      </w:pPr>
      <w:r w:rsidRPr="003E2D4F">
        <w:rPr>
          <w:rStyle w:val="EndnoteReference"/>
          <w:sz w:val="24"/>
          <w:szCs w:val="24"/>
        </w:rPr>
        <w:endnoteRef/>
      </w:r>
      <w:r w:rsidRPr="003E2D4F">
        <w:rPr>
          <w:sz w:val="24"/>
          <w:szCs w:val="24"/>
        </w:rPr>
        <w:t xml:space="preserve"> Craddock V, Mahajan A, Spikes L, </w:t>
      </w:r>
      <w:r w:rsidR="00240412" w:rsidRPr="003E2D4F">
        <w:rPr>
          <w:sz w:val="24"/>
          <w:szCs w:val="24"/>
        </w:rPr>
        <w:t xml:space="preserve">et al. </w:t>
      </w:r>
      <w:r w:rsidRPr="003E2D4F">
        <w:rPr>
          <w:sz w:val="24"/>
          <w:szCs w:val="24"/>
        </w:rPr>
        <w:t xml:space="preserve">Persistent circulation of soluble and extracellular vesicle-linked </w:t>
      </w:r>
      <w:r w:rsidR="00240412" w:rsidRPr="003E2D4F">
        <w:rPr>
          <w:sz w:val="24"/>
          <w:szCs w:val="24"/>
        </w:rPr>
        <w:t>s</w:t>
      </w:r>
      <w:r w:rsidRPr="003E2D4F">
        <w:rPr>
          <w:sz w:val="24"/>
          <w:szCs w:val="24"/>
        </w:rPr>
        <w:t xml:space="preserve">pike protein in individuals with postacute sequelae of COVID-19. </w:t>
      </w:r>
      <w:r w:rsidRPr="003E2D4F">
        <w:rPr>
          <w:i/>
          <w:iCs/>
          <w:sz w:val="24"/>
          <w:szCs w:val="24"/>
        </w:rPr>
        <w:t>J Med Virol</w:t>
      </w:r>
      <w:r w:rsidRPr="003E2D4F">
        <w:rPr>
          <w:sz w:val="24"/>
          <w:szCs w:val="24"/>
        </w:rPr>
        <w:t xml:space="preserve"> 2023;95:e28568.</w:t>
      </w:r>
    </w:p>
  </w:endnote>
  <w:endnote w:id="6">
    <w:p w14:paraId="4660AFB2" w14:textId="5FE58D1D" w:rsidR="00976C8D" w:rsidRPr="00A602A0" w:rsidRDefault="00976C8D">
      <w:pPr>
        <w:pStyle w:val="EndnoteText"/>
        <w:rPr>
          <w:sz w:val="24"/>
          <w:szCs w:val="24"/>
          <w:lang w:val="fr-CM"/>
        </w:rPr>
      </w:pPr>
      <w:r w:rsidRPr="003E2D4F">
        <w:rPr>
          <w:rStyle w:val="EndnoteReference"/>
          <w:sz w:val="24"/>
          <w:szCs w:val="24"/>
        </w:rPr>
        <w:endnoteRef/>
      </w:r>
      <w:r w:rsidRPr="003E2D4F">
        <w:rPr>
          <w:sz w:val="24"/>
          <w:szCs w:val="24"/>
        </w:rPr>
        <w:t xml:space="preserve"> Nushida H, Ito A, Kurata H, </w:t>
      </w:r>
      <w:r w:rsidR="00240412" w:rsidRPr="003E2D4F">
        <w:rPr>
          <w:sz w:val="24"/>
          <w:szCs w:val="24"/>
        </w:rPr>
        <w:t xml:space="preserve">et al. </w:t>
      </w:r>
      <w:r w:rsidRPr="003E2D4F">
        <w:rPr>
          <w:sz w:val="24"/>
          <w:szCs w:val="24"/>
        </w:rPr>
        <w:t xml:space="preserve">A case of fatal multi-organ inflammation following COVID-19 vaccination. </w:t>
      </w:r>
      <w:r w:rsidRPr="00A602A0">
        <w:rPr>
          <w:i/>
          <w:iCs/>
          <w:sz w:val="24"/>
          <w:szCs w:val="24"/>
          <w:lang w:val="fr-CM"/>
        </w:rPr>
        <w:t>Leg Med</w:t>
      </w:r>
      <w:r w:rsidRPr="00A602A0">
        <w:rPr>
          <w:sz w:val="24"/>
          <w:szCs w:val="24"/>
          <w:lang w:val="fr-CM"/>
        </w:rPr>
        <w:t xml:space="preserve"> (Tokyo) 2023;63:102244.</w:t>
      </w:r>
    </w:p>
  </w:endnote>
  <w:endnote w:id="7">
    <w:p w14:paraId="420147FB" w14:textId="70CCDA8B" w:rsidR="00EC398C" w:rsidRPr="003E2D4F" w:rsidRDefault="00EC398C">
      <w:pPr>
        <w:pStyle w:val="EndnoteText"/>
        <w:rPr>
          <w:sz w:val="24"/>
          <w:szCs w:val="24"/>
        </w:rPr>
      </w:pPr>
      <w:r w:rsidRPr="003E2D4F">
        <w:rPr>
          <w:rStyle w:val="EndnoteReference"/>
          <w:sz w:val="24"/>
          <w:szCs w:val="24"/>
        </w:rPr>
        <w:endnoteRef/>
      </w:r>
      <w:r w:rsidRPr="003E2D4F">
        <w:rPr>
          <w:sz w:val="24"/>
          <w:szCs w:val="24"/>
          <w:lang w:val="fr-CM"/>
        </w:rPr>
        <w:t xml:space="preserve"> </w:t>
      </w:r>
      <w:r w:rsidR="00A366C7" w:rsidRPr="003E2D4F">
        <w:rPr>
          <w:sz w:val="24"/>
          <w:szCs w:val="24"/>
          <w:lang w:val="fr-CM"/>
        </w:rPr>
        <w:t xml:space="preserve">Geeraerts T, Guilbeau-Frugier C, Garcia C, </w:t>
      </w:r>
      <w:r w:rsidR="001A61F1" w:rsidRPr="003E2D4F">
        <w:rPr>
          <w:sz w:val="24"/>
          <w:szCs w:val="24"/>
          <w:lang w:val="fr-CM"/>
        </w:rPr>
        <w:t xml:space="preserve">et al. </w:t>
      </w:r>
      <w:r w:rsidR="00A366C7" w:rsidRPr="003E2D4F">
        <w:rPr>
          <w:sz w:val="24"/>
          <w:szCs w:val="24"/>
        </w:rPr>
        <w:t xml:space="preserve">Immunohistologic </w:t>
      </w:r>
      <w:r w:rsidR="001A61F1" w:rsidRPr="003E2D4F">
        <w:rPr>
          <w:sz w:val="24"/>
          <w:szCs w:val="24"/>
        </w:rPr>
        <w:t>features of cerebral venous thrombosis due to vaccine-induced immune thrombotic thrombocytopenia</w:t>
      </w:r>
      <w:r w:rsidR="00A366C7" w:rsidRPr="003E2D4F">
        <w:rPr>
          <w:sz w:val="24"/>
          <w:szCs w:val="24"/>
        </w:rPr>
        <w:t xml:space="preserve">. </w:t>
      </w:r>
      <w:r w:rsidR="00A366C7" w:rsidRPr="003E2D4F">
        <w:rPr>
          <w:i/>
          <w:iCs/>
          <w:sz w:val="24"/>
          <w:szCs w:val="24"/>
        </w:rPr>
        <w:t>Neurol Neuroimmunol Neuroinflamm</w:t>
      </w:r>
      <w:r w:rsidR="00A366C7" w:rsidRPr="003E2D4F">
        <w:rPr>
          <w:sz w:val="24"/>
          <w:szCs w:val="24"/>
        </w:rPr>
        <w:t xml:space="preserve"> 2023;10:e200127</w:t>
      </w:r>
      <w:r w:rsidRPr="003E2D4F">
        <w:rPr>
          <w:sz w:val="24"/>
          <w:szCs w:val="24"/>
        </w:rPr>
        <w:t>.</w:t>
      </w:r>
    </w:p>
  </w:endnote>
  <w:endnote w:id="8">
    <w:p w14:paraId="57592E2D" w14:textId="1F4D14E2" w:rsidR="001E3DB0" w:rsidRPr="003E2D4F" w:rsidRDefault="001E3DB0">
      <w:pPr>
        <w:pStyle w:val="EndnoteText"/>
        <w:rPr>
          <w:sz w:val="24"/>
          <w:szCs w:val="24"/>
        </w:rPr>
      </w:pPr>
      <w:r w:rsidRPr="003E2D4F">
        <w:rPr>
          <w:rStyle w:val="EndnoteReference"/>
          <w:sz w:val="24"/>
          <w:szCs w:val="24"/>
        </w:rPr>
        <w:endnoteRef/>
      </w:r>
      <w:r w:rsidRPr="003E2D4F">
        <w:rPr>
          <w:sz w:val="24"/>
          <w:szCs w:val="24"/>
        </w:rPr>
        <w:t xml:space="preserve"> Mörz M. A </w:t>
      </w:r>
      <w:r w:rsidR="001A61F1" w:rsidRPr="003E2D4F">
        <w:rPr>
          <w:sz w:val="24"/>
          <w:szCs w:val="24"/>
        </w:rPr>
        <w:t>c</w:t>
      </w:r>
      <w:r w:rsidRPr="003E2D4F">
        <w:rPr>
          <w:sz w:val="24"/>
          <w:szCs w:val="24"/>
        </w:rPr>
        <w:t xml:space="preserve">ase </w:t>
      </w:r>
      <w:r w:rsidR="001A61F1" w:rsidRPr="003E2D4F">
        <w:rPr>
          <w:sz w:val="24"/>
          <w:szCs w:val="24"/>
        </w:rPr>
        <w:t>r</w:t>
      </w:r>
      <w:r w:rsidRPr="003E2D4F">
        <w:rPr>
          <w:sz w:val="24"/>
          <w:szCs w:val="24"/>
        </w:rPr>
        <w:t xml:space="preserve">eport: Multifocal </w:t>
      </w:r>
      <w:r w:rsidR="001A61F1" w:rsidRPr="003E2D4F">
        <w:rPr>
          <w:sz w:val="24"/>
          <w:szCs w:val="24"/>
        </w:rPr>
        <w:t xml:space="preserve">necrotizing encephalitis and myocarditis </w:t>
      </w:r>
      <w:r w:rsidRPr="003E2D4F">
        <w:rPr>
          <w:sz w:val="24"/>
          <w:szCs w:val="24"/>
        </w:rPr>
        <w:t xml:space="preserve">after BNT162b2 mRNA </w:t>
      </w:r>
      <w:r w:rsidR="001A61F1" w:rsidRPr="003E2D4F">
        <w:rPr>
          <w:sz w:val="24"/>
          <w:szCs w:val="24"/>
        </w:rPr>
        <w:t>v</w:t>
      </w:r>
      <w:r w:rsidRPr="003E2D4F">
        <w:rPr>
          <w:sz w:val="24"/>
          <w:szCs w:val="24"/>
        </w:rPr>
        <w:t xml:space="preserve">accination against COVID-19. </w:t>
      </w:r>
      <w:r w:rsidRPr="003E2D4F">
        <w:rPr>
          <w:i/>
          <w:iCs/>
          <w:sz w:val="24"/>
          <w:szCs w:val="24"/>
        </w:rPr>
        <w:t>Vaccines</w:t>
      </w:r>
      <w:r w:rsidRPr="003E2D4F">
        <w:rPr>
          <w:sz w:val="24"/>
          <w:szCs w:val="24"/>
        </w:rPr>
        <w:t xml:space="preserve"> (Basel) 2022;10:1651.</w:t>
      </w:r>
    </w:p>
  </w:endnote>
  <w:endnote w:id="9">
    <w:p w14:paraId="3320F3B7" w14:textId="03B8A771" w:rsidR="00C71892" w:rsidRPr="00A602A0" w:rsidRDefault="00C71892">
      <w:pPr>
        <w:pStyle w:val="EndnoteText"/>
        <w:rPr>
          <w:sz w:val="24"/>
          <w:szCs w:val="24"/>
          <w:lang w:val="fr-CM"/>
        </w:rPr>
      </w:pPr>
      <w:r w:rsidRPr="003E2D4F">
        <w:rPr>
          <w:rStyle w:val="EndnoteReference"/>
          <w:sz w:val="24"/>
          <w:szCs w:val="24"/>
        </w:rPr>
        <w:endnoteRef/>
      </w:r>
      <w:r w:rsidRPr="003E2D4F">
        <w:rPr>
          <w:sz w:val="24"/>
          <w:szCs w:val="24"/>
        </w:rPr>
        <w:t xml:space="preserve"> Seneff S, Kyriakopoulos AM, Nigh G, McCullough PA. </w:t>
      </w:r>
      <w:r w:rsidR="001A61F1" w:rsidRPr="003E2D4F">
        <w:rPr>
          <w:sz w:val="24"/>
          <w:szCs w:val="24"/>
        </w:rPr>
        <w:t>a potential role of the spike protein in neurodegenerative dise</w:t>
      </w:r>
      <w:r w:rsidRPr="003E2D4F">
        <w:rPr>
          <w:sz w:val="24"/>
          <w:szCs w:val="24"/>
        </w:rPr>
        <w:t xml:space="preserve">ases: </w:t>
      </w:r>
      <w:r w:rsidR="001A61F1" w:rsidRPr="003E2D4F">
        <w:rPr>
          <w:sz w:val="24"/>
          <w:szCs w:val="24"/>
        </w:rPr>
        <w:t>a narrative review</w:t>
      </w:r>
      <w:r w:rsidRPr="003E2D4F">
        <w:rPr>
          <w:sz w:val="24"/>
          <w:szCs w:val="24"/>
        </w:rPr>
        <w:t xml:space="preserve">. </w:t>
      </w:r>
      <w:r w:rsidRPr="00A602A0">
        <w:rPr>
          <w:i/>
          <w:iCs/>
          <w:sz w:val="24"/>
          <w:szCs w:val="24"/>
          <w:lang w:val="fr-CM"/>
        </w:rPr>
        <w:t>Cureus</w:t>
      </w:r>
      <w:r w:rsidRPr="00A602A0">
        <w:rPr>
          <w:sz w:val="24"/>
          <w:szCs w:val="24"/>
          <w:lang w:val="fr-CM"/>
        </w:rPr>
        <w:t xml:space="preserve"> 2023;15:e34872.</w:t>
      </w:r>
    </w:p>
  </w:endnote>
  <w:endnote w:id="10">
    <w:p w14:paraId="2FF98CD8" w14:textId="7143C8FD" w:rsidR="00A366C7" w:rsidRPr="003E2D4F" w:rsidRDefault="00A366C7">
      <w:pPr>
        <w:pStyle w:val="EndnoteText"/>
        <w:rPr>
          <w:sz w:val="24"/>
          <w:szCs w:val="24"/>
        </w:rPr>
      </w:pPr>
      <w:r w:rsidRPr="003E2D4F">
        <w:rPr>
          <w:rStyle w:val="EndnoteReference"/>
          <w:sz w:val="24"/>
          <w:szCs w:val="24"/>
        </w:rPr>
        <w:endnoteRef/>
      </w:r>
      <w:r w:rsidRPr="003E2D4F">
        <w:rPr>
          <w:sz w:val="24"/>
          <w:szCs w:val="24"/>
          <w:lang w:val="fr-CM"/>
        </w:rPr>
        <w:t xml:space="preserve"> </w:t>
      </w:r>
      <w:r w:rsidR="00BF4286" w:rsidRPr="003E2D4F">
        <w:rPr>
          <w:sz w:val="24"/>
          <w:szCs w:val="24"/>
          <w:lang w:val="fr-CM"/>
        </w:rPr>
        <w:t xml:space="preserve">De Michele M, d'Amati G, Leopizzi M, </w:t>
      </w:r>
      <w:r w:rsidR="001A61F1" w:rsidRPr="003E2D4F">
        <w:rPr>
          <w:sz w:val="24"/>
          <w:szCs w:val="24"/>
          <w:lang w:val="fr-CM"/>
        </w:rPr>
        <w:t>et al.</w:t>
      </w:r>
      <w:r w:rsidR="00BF4286" w:rsidRPr="003E2D4F">
        <w:rPr>
          <w:sz w:val="24"/>
          <w:szCs w:val="24"/>
          <w:lang w:val="fr-CM"/>
        </w:rPr>
        <w:t xml:space="preserve"> </w:t>
      </w:r>
      <w:r w:rsidR="00BF4286" w:rsidRPr="003E2D4F">
        <w:rPr>
          <w:sz w:val="24"/>
          <w:szCs w:val="24"/>
        </w:rPr>
        <w:t xml:space="preserve">Evidence of SARS-CoV-2 spike protein on retrieved thrombi from COVID-19 patients. </w:t>
      </w:r>
      <w:r w:rsidR="00BF4286" w:rsidRPr="003E2D4F">
        <w:rPr>
          <w:i/>
          <w:iCs/>
          <w:sz w:val="24"/>
          <w:szCs w:val="24"/>
        </w:rPr>
        <w:t>J Hematol Oncol</w:t>
      </w:r>
      <w:r w:rsidR="00BF4286" w:rsidRPr="003E2D4F">
        <w:rPr>
          <w:sz w:val="24"/>
          <w:szCs w:val="24"/>
        </w:rPr>
        <w:t xml:space="preserve"> 2022;15:108.</w:t>
      </w:r>
    </w:p>
  </w:endnote>
  <w:endnote w:id="11">
    <w:p w14:paraId="01FBC556" w14:textId="76F55E34" w:rsidR="001047A1" w:rsidRPr="003E2D4F" w:rsidRDefault="001047A1">
      <w:pPr>
        <w:pStyle w:val="EndnoteText"/>
        <w:rPr>
          <w:sz w:val="24"/>
          <w:szCs w:val="24"/>
        </w:rPr>
      </w:pPr>
      <w:r w:rsidRPr="003E2D4F">
        <w:rPr>
          <w:rStyle w:val="EndnoteReference"/>
          <w:sz w:val="24"/>
          <w:szCs w:val="24"/>
        </w:rPr>
        <w:endnoteRef/>
      </w:r>
      <w:r w:rsidRPr="003E2D4F">
        <w:rPr>
          <w:sz w:val="24"/>
          <w:szCs w:val="24"/>
        </w:rPr>
        <w:t xml:space="preserve"> </w:t>
      </w:r>
      <w:r w:rsidR="00291B6F" w:rsidRPr="003E2D4F">
        <w:rPr>
          <w:sz w:val="24"/>
          <w:szCs w:val="24"/>
        </w:rPr>
        <w:t xml:space="preserve">Patterson BK, Francisco EB, Yogendra R, et al. SARS-CoV-2 S1 </w:t>
      </w:r>
      <w:r w:rsidR="00DD24CC">
        <w:rPr>
          <w:sz w:val="24"/>
          <w:szCs w:val="24"/>
        </w:rPr>
        <w:t>p</w:t>
      </w:r>
      <w:r w:rsidR="00291B6F" w:rsidRPr="003E2D4F">
        <w:rPr>
          <w:sz w:val="24"/>
          <w:szCs w:val="24"/>
        </w:rPr>
        <w:t xml:space="preserve">rotein </w:t>
      </w:r>
      <w:r w:rsidR="001A61F1" w:rsidRPr="003E2D4F">
        <w:rPr>
          <w:sz w:val="24"/>
          <w:szCs w:val="24"/>
        </w:rPr>
        <w:t>p</w:t>
      </w:r>
      <w:r w:rsidR="00291B6F" w:rsidRPr="003E2D4F">
        <w:rPr>
          <w:sz w:val="24"/>
          <w:szCs w:val="24"/>
        </w:rPr>
        <w:t xml:space="preserve">ersistence in SARS-CoV-2 </w:t>
      </w:r>
      <w:r w:rsidR="001A61F1" w:rsidRPr="003E2D4F">
        <w:rPr>
          <w:sz w:val="24"/>
          <w:szCs w:val="24"/>
        </w:rPr>
        <w:t xml:space="preserve">negative post-vaccination individuals with long </w:t>
      </w:r>
      <w:r w:rsidR="00291B6F" w:rsidRPr="003E2D4F">
        <w:rPr>
          <w:sz w:val="24"/>
          <w:szCs w:val="24"/>
        </w:rPr>
        <w:t>COVID/ PASC-</w:t>
      </w:r>
      <w:r w:rsidR="001A61F1" w:rsidRPr="003E2D4F">
        <w:rPr>
          <w:sz w:val="24"/>
          <w:szCs w:val="24"/>
        </w:rPr>
        <w:t>l</w:t>
      </w:r>
      <w:r w:rsidR="00291B6F" w:rsidRPr="003E2D4F">
        <w:rPr>
          <w:sz w:val="24"/>
          <w:szCs w:val="24"/>
        </w:rPr>
        <w:t xml:space="preserve">ike </w:t>
      </w:r>
      <w:r w:rsidR="001A61F1" w:rsidRPr="003E2D4F">
        <w:rPr>
          <w:sz w:val="24"/>
          <w:szCs w:val="24"/>
        </w:rPr>
        <w:t>s</w:t>
      </w:r>
      <w:r w:rsidR="00291B6F" w:rsidRPr="003E2D4F">
        <w:rPr>
          <w:sz w:val="24"/>
          <w:szCs w:val="24"/>
        </w:rPr>
        <w:t xml:space="preserve">ymptoms. Research Square; 2022. </w:t>
      </w:r>
      <w:r w:rsidR="001A61F1" w:rsidRPr="003E2D4F">
        <w:rPr>
          <w:sz w:val="24"/>
          <w:szCs w:val="24"/>
        </w:rPr>
        <w:t>doi</w:t>
      </w:r>
      <w:r w:rsidR="00291B6F" w:rsidRPr="003E2D4F">
        <w:rPr>
          <w:sz w:val="24"/>
          <w:szCs w:val="24"/>
        </w:rPr>
        <w:t>: 10.21203/rs.3.rs-1844677/v1.</w:t>
      </w:r>
    </w:p>
  </w:endnote>
  <w:endnote w:id="12">
    <w:p w14:paraId="1DD8D731" w14:textId="7DA3833D" w:rsidR="003C58FD" w:rsidRPr="003E2D4F" w:rsidRDefault="003C58FD">
      <w:pPr>
        <w:pStyle w:val="EndnoteText"/>
        <w:rPr>
          <w:sz w:val="24"/>
          <w:szCs w:val="24"/>
        </w:rPr>
      </w:pPr>
      <w:r w:rsidRPr="003E2D4F">
        <w:rPr>
          <w:rStyle w:val="EndnoteReference"/>
          <w:sz w:val="24"/>
          <w:szCs w:val="24"/>
        </w:rPr>
        <w:endnoteRef/>
      </w:r>
      <w:r w:rsidRPr="003E2D4F">
        <w:rPr>
          <w:sz w:val="24"/>
          <w:szCs w:val="24"/>
        </w:rPr>
        <w:t xml:space="preserve"> Sheng Y, Yang J, Wang C, Sun X, Yan L. Microbial nattokinase: from synthesis to potential application. </w:t>
      </w:r>
      <w:r w:rsidRPr="003E2D4F">
        <w:rPr>
          <w:i/>
          <w:iCs/>
          <w:sz w:val="24"/>
          <w:szCs w:val="24"/>
        </w:rPr>
        <w:t>Food Funct</w:t>
      </w:r>
      <w:r w:rsidRPr="003E2D4F">
        <w:rPr>
          <w:sz w:val="24"/>
          <w:szCs w:val="24"/>
        </w:rPr>
        <w:t xml:space="preserve"> 2023;14:2568-2585.</w:t>
      </w:r>
    </w:p>
  </w:endnote>
  <w:endnote w:id="13">
    <w:p w14:paraId="6DC43D96" w14:textId="2A8C3411" w:rsidR="00466E16" w:rsidRPr="003E2D4F" w:rsidRDefault="00466E16">
      <w:pPr>
        <w:pStyle w:val="EndnoteText"/>
        <w:rPr>
          <w:sz w:val="24"/>
          <w:szCs w:val="24"/>
        </w:rPr>
      </w:pPr>
      <w:r w:rsidRPr="003E2D4F">
        <w:rPr>
          <w:rStyle w:val="EndnoteReference"/>
          <w:sz w:val="24"/>
          <w:szCs w:val="24"/>
        </w:rPr>
        <w:endnoteRef/>
      </w:r>
      <w:r w:rsidRPr="003E2D4F">
        <w:rPr>
          <w:sz w:val="24"/>
          <w:szCs w:val="24"/>
        </w:rPr>
        <w:t xml:space="preserve"> Sun P, Wang JQ, Zhang HT. Effects of </w:t>
      </w:r>
      <w:r w:rsidRPr="003E2D4F">
        <w:rPr>
          <w:i/>
          <w:iCs/>
          <w:sz w:val="24"/>
          <w:szCs w:val="24"/>
        </w:rPr>
        <w:t>Bacillus subtilis natto</w:t>
      </w:r>
      <w:r w:rsidRPr="003E2D4F">
        <w:rPr>
          <w:sz w:val="24"/>
          <w:szCs w:val="24"/>
        </w:rPr>
        <w:t xml:space="preserve"> on performance and immune function of preweaning calves. </w:t>
      </w:r>
      <w:r w:rsidRPr="003E2D4F">
        <w:rPr>
          <w:i/>
          <w:iCs/>
          <w:sz w:val="24"/>
          <w:szCs w:val="24"/>
        </w:rPr>
        <w:t>J Dairy Sci</w:t>
      </w:r>
      <w:r w:rsidRPr="003E2D4F">
        <w:rPr>
          <w:sz w:val="24"/>
          <w:szCs w:val="24"/>
        </w:rPr>
        <w:t xml:space="preserve"> 2010;93:5851-</w:t>
      </w:r>
      <w:r w:rsidR="001A61F1" w:rsidRPr="003E2D4F">
        <w:rPr>
          <w:sz w:val="24"/>
          <w:szCs w:val="24"/>
        </w:rPr>
        <w:t>585</w:t>
      </w:r>
      <w:r w:rsidRPr="003E2D4F">
        <w:rPr>
          <w:sz w:val="24"/>
          <w:szCs w:val="24"/>
        </w:rPr>
        <w:t>5.</w:t>
      </w:r>
    </w:p>
  </w:endnote>
  <w:endnote w:id="14">
    <w:p w14:paraId="3A8E3174" w14:textId="6A1A7F80" w:rsidR="004562A5" w:rsidRPr="00A602A0" w:rsidRDefault="004562A5">
      <w:pPr>
        <w:pStyle w:val="EndnoteText"/>
        <w:rPr>
          <w:sz w:val="24"/>
          <w:szCs w:val="24"/>
          <w:lang w:val="fr-CM"/>
        </w:rPr>
      </w:pPr>
      <w:r w:rsidRPr="003E2D4F">
        <w:rPr>
          <w:rStyle w:val="EndnoteReference"/>
          <w:sz w:val="24"/>
          <w:szCs w:val="24"/>
        </w:rPr>
        <w:endnoteRef/>
      </w:r>
      <w:r w:rsidRPr="003E2D4F">
        <w:rPr>
          <w:sz w:val="24"/>
          <w:szCs w:val="24"/>
        </w:rPr>
        <w:t xml:space="preserve"> Dabbagh F, Negahdaripour M, Berenjian A, </w:t>
      </w:r>
      <w:r w:rsidR="001A61F1" w:rsidRPr="003E2D4F">
        <w:rPr>
          <w:sz w:val="24"/>
          <w:szCs w:val="24"/>
        </w:rPr>
        <w:t xml:space="preserve">et al. </w:t>
      </w:r>
      <w:r w:rsidRPr="003E2D4F">
        <w:rPr>
          <w:sz w:val="24"/>
          <w:szCs w:val="24"/>
        </w:rPr>
        <w:t xml:space="preserve">Nattokinase: production and application. </w:t>
      </w:r>
      <w:r w:rsidRPr="00A602A0">
        <w:rPr>
          <w:i/>
          <w:iCs/>
          <w:sz w:val="24"/>
          <w:szCs w:val="24"/>
          <w:lang w:val="fr-CM"/>
        </w:rPr>
        <w:t>Appl Microbiol Biotechnol</w:t>
      </w:r>
      <w:r w:rsidRPr="00A602A0">
        <w:rPr>
          <w:sz w:val="24"/>
          <w:szCs w:val="24"/>
          <w:lang w:val="fr-CM"/>
        </w:rPr>
        <w:t xml:space="preserve"> 2014;98:9199-</w:t>
      </w:r>
      <w:r w:rsidR="001A61F1" w:rsidRPr="00A602A0">
        <w:rPr>
          <w:sz w:val="24"/>
          <w:szCs w:val="24"/>
          <w:lang w:val="fr-CM"/>
        </w:rPr>
        <w:t>9</w:t>
      </w:r>
      <w:r w:rsidRPr="00A602A0">
        <w:rPr>
          <w:sz w:val="24"/>
          <w:szCs w:val="24"/>
          <w:lang w:val="fr-CM"/>
        </w:rPr>
        <w:t>206.</w:t>
      </w:r>
    </w:p>
  </w:endnote>
  <w:endnote w:id="15">
    <w:p w14:paraId="7630E782" w14:textId="53914A3D" w:rsidR="00252447" w:rsidRPr="003E2D4F" w:rsidRDefault="00252447">
      <w:pPr>
        <w:pStyle w:val="EndnoteText"/>
        <w:rPr>
          <w:sz w:val="24"/>
          <w:szCs w:val="24"/>
        </w:rPr>
      </w:pPr>
      <w:r w:rsidRPr="003E2D4F">
        <w:rPr>
          <w:rStyle w:val="EndnoteReference"/>
          <w:sz w:val="24"/>
          <w:szCs w:val="24"/>
        </w:rPr>
        <w:endnoteRef/>
      </w:r>
      <w:r w:rsidRPr="003E2D4F">
        <w:rPr>
          <w:sz w:val="24"/>
          <w:szCs w:val="24"/>
          <w:lang w:val="fr-CM"/>
        </w:rPr>
        <w:t xml:space="preserve"> Kurosawa Y, Nirengi S, Homma T, </w:t>
      </w:r>
      <w:r w:rsidR="001A61F1" w:rsidRPr="003E2D4F">
        <w:rPr>
          <w:sz w:val="24"/>
          <w:szCs w:val="24"/>
          <w:lang w:val="fr-CM"/>
        </w:rPr>
        <w:t xml:space="preserve">et al. </w:t>
      </w:r>
      <w:r w:rsidRPr="003E2D4F">
        <w:rPr>
          <w:sz w:val="24"/>
          <w:szCs w:val="24"/>
        </w:rPr>
        <w:t xml:space="preserve">A </w:t>
      </w:r>
      <w:r w:rsidR="00742BAB" w:rsidRPr="003E2D4F">
        <w:rPr>
          <w:sz w:val="24"/>
          <w:szCs w:val="24"/>
        </w:rPr>
        <w:t>single dose</w:t>
      </w:r>
      <w:r w:rsidRPr="003E2D4F">
        <w:rPr>
          <w:sz w:val="24"/>
          <w:szCs w:val="24"/>
        </w:rPr>
        <w:t xml:space="preserve"> of oral nattokinase potentiates thrombolysis and anti-coagulation profiles. </w:t>
      </w:r>
      <w:r w:rsidRPr="003E2D4F">
        <w:rPr>
          <w:i/>
          <w:iCs/>
          <w:sz w:val="24"/>
          <w:szCs w:val="24"/>
        </w:rPr>
        <w:t>Sci Rep</w:t>
      </w:r>
      <w:r w:rsidRPr="003E2D4F">
        <w:rPr>
          <w:sz w:val="24"/>
          <w:szCs w:val="24"/>
        </w:rPr>
        <w:t>. 2015;5:11601.</w:t>
      </w:r>
    </w:p>
  </w:endnote>
  <w:endnote w:id="16">
    <w:p w14:paraId="7F535098" w14:textId="35811189" w:rsidR="003915CD" w:rsidRPr="00A602A0" w:rsidRDefault="003915CD">
      <w:pPr>
        <w:pStyle w:val="EndnoteText"/>
        <w:rPr>
          <w:sz w:val="24"/>
          <w:szCs w:val="24"/>
          <w:lang w:val="fr-CM"/>
        </w:rPr>
      </w:pPr>
      <w:r w:rsidRPr="003E2D4F">
        <w:rPr>
          <w:rStyle w:val="EndnoteReference"/>
          <w:sz w:val="24"/>
          <w:szCs w:val="24"/>
        </w:rPr>
        <w:endnoteRef/>
      </w:r>
      <w:r w:rsidRPr="003E2D4F">
        <w:rPr>
          <w:sz w:val="24"/>
          <w:szCs w:val="24"/>
        </w:rPr>
        <w:t xml:space="preserve"> Oba M, Rongduo W, Saito A, </w:t>
      </w:r>
      <w:r w:rsidR="001A61F1" w:rsidRPr="003E2D4F">
        <w:rPr>
          <w:sz w:val="24"/>
          <w:szCs w:val="24"/>
        </w:rPr>
        <w:t xml:space="preserve">et al. </w:t>
      </w:r>
      <w:r w:rsidRPr="003E2D4F">
        <w:rPr>
          <w:sz w:val="24"/>
          <w:szCs w:val="24"/>
        </w:rPr>
        <w:t xml:space="preserve">Natto extract, a Japanese fermented soybean food, directly inhibits viral infections including SARS-CoV-2 in vitro. </w:t>
      </w:r>
      <w:r w:rsidRPr="00A602A0">
        <w:rPr>
          <w:i/>
          <w:iCs/>
          <w:sz w:val="24"/>
          <w:szCs w:val="24"/>
          <w:lang w:val="fr-CM"/>
        </w:rPr>
        <w:t>Biochem Biophys Res Commun</w:t>
      </w:r>
      <w:r w:rsidRPr="00A602A0">
        <w:rPr>
          <w:sz w:val="24"/>
          <w:szCs w:val="24"/>
          <w:lang w:val="fr-CM"/>
        </w:rPr>
        <w:t xml:space="preserve"> 202</w:t>
      </w:r>
      <w:r w:rsidR="00D93493" w:rsidRPr="00A602A0">
        <w:rPr>
          <w:sz w:val="24"/>
          <w:szCs w:val="24"/>
          <w:lang w:val="fr-CM"/>
        </w:rPr>
        <w:t>1</w:t>
      </w:r>
      <w:r w:rsidRPr="00A602A0">
        <w:rPr>
          <w:sz w:val="24"/>
          <w:szCs w:val="24"/>
          <w:lang w:val="fr-CM"/>
        </w:rPr>
        <w:t>;570:21-25.</w:t>
      </w:r>
    </w:p>
  </w:endnote>
  <w:endnote w:id="17">
    <w:p w14:paraId="67BB8F49" w14:textId="10D5B145" w:rsidR="006A0EAE" w:rsidRPr="003E2D4F" w:rsidRDefault="006A0EAE">
      <w:pPr>
        <w:pStyle w:val="EndnoteText"/>
        <w:rPr>
          <w:sz w:val="24"/>
          <w:szCs w:val="24"/>
        </w:rPr>
      </w:pPr>
      <w:r w:rsidRPr="003E2D4F">
        <w:rPr>
          <w:rStyle w:val="EndnoteReference"/>
          <w:sz w:val="24"/>
          <w:szCs w:val="24"/>
        </w:rPr>
        <w:endnoteRef/>
      </w:r>
      <w:r w:rsidRPr="003E2D4F">
        <w:rPr>
          <w:sz w:val="24"/>
          <w:szCs w:val="24"/>
          <w:lang w:val="fr-CM"/>
        </w:rPr>
        <w:t xml:space="preserve"> Tanikawa T, Kiba Y, Yu J, </w:t>
      </w:r>
      <w:r w:rsidR="001A61F1" w:rsidRPr="003E2D4F">
        <w:rPr>
          <w:sz w:val="24"/>
          <w:szCs w:val="24"/>
          <w:lang w:val="fr-CM"/>
        </w:rPr>
        <w:t xml:space="preserve">et al. </w:t>
      </w:r>
      <w:r w:rsidRPr="003E2D4F">
        <w:rPr>
          <w:sz w:val="24"/>
          <w:szCs w:val="24"/>
        </w:rPr>
        <w:t xml:space="preserve">Degradative </w:t>
      </w:r>
      <w:r w:rsidR="00FD4A4E" w:rsidRPr="003E2D4F">
        <w:rPr>
          <w:sz w:val="24"/>
          <w:szCs w:val="24"/>
        </w:rPr>
        <w:t xml:space="preserve">effect of nattokinase on spike protein </w:t>
      </w:r>
      <w:r w:rsidRPr="003E2D4F">
        <w:rPr>
          <w:sz w:val="24"/>
          <w:szCs w:val="24"/>
        </w:rPr>
        <w:t xml:space="preserve">of SARS-CoV-2. </w:t>
      </w:r>
      <w:r w:rsidRPr="003E2D4F">
        <w:rPr>
          <w:i/>
          <w:iCs/>
          <w:sz w:val="24"/>
          <w:szCs w:val="24"/>
        </w:rPr>
        <w:t>Molecules</w:t>
      </w:r>
      <w:r w:rsidRPr="003E2D4F">
        <w:rPr>
          <w:sz w:val="24"/>
          <w:szCs w:val="24"/>
        </w:rPr>
        <w:t xml:space="preserve"> 2022;27:5405.</w:t>
      </w:r>
    </w:p>
  </w:endnote>
  <w:endnote w:id="18">
    <w:p w14:paraId="4E05154A" w14:textId="6A1AAE07" w:rsidR="005A4811" w:rsidRPr="003E2D4F" w:rsidRDefault="005A4811">
      <w:pPr>
        <w:pStyle w:val="EndnoteText"/>
        <w:rPr>
          <w:sz w:val="24"/>
          <w:szCs w:val="24"/>
        </w:rPr>
      </w:pPr>
      <w:r w:rsidRPr="003E2D4F">
        <w:rPr>
          <w:rStyle w:val="EndnoteReference"/>
          <w:sz w:val="24"/>
          <w:szCs w:val="24"/>
        </w:rPr>
        <w:endnoteRef/>
      </w:r>
      <w:r w:rsidRPr="003E2D4F">
        <w:rPr>
          <w:sz w:val="24"/>
          <w:szCs w:val="24"/>
        </w:rPr>
        <w:t xml:space="preserve"> Rowan AD, Buttle DJ, Barrett AJ. The cysteine proteinases of the pineapple plant. </w:t>
      </w:r>
      <w:r w:rsidRPr="003E2D4F">
        <w:rPr>
          <w:i/>
          <w:iCs/>
          <w:sz w:val="24"/>
          <w:szCs w:val="24"/>
        </w:rPr>
        <w:t>Biochem J</w:t>
      </w:r>
      <w:r w:rsidRPr="003E2D4F">
        <w:rPr>
          <w:sz w:val="24"/>
          <w:szCs w:val="24"/>
        </w:rPr>
        <w:t xml:space="preserve"> 1990;266:869-</w:t>
      </w:r>
      <w:r w:rsidR="00FD4A4E" w:rsidRPr="003E2D4F">
        <w:rPr>
          <w:sz w:val="24"/>
          <w:szCs w:val="24"/>
        </w:rPr>
        <w:t>8</w:t>
      </w:r>
      <w:r w:rsidRPr="003E2D4F">
        <w:rPr>
          <w:sz w:val="24"/>
          <w:szCs w:val="24"/>
        </w:rPr>
        <w:t>75.</w:t>
      </w:r>
    </w:p>
  </w:endnote>
  <w:endnote w:id="19">
    <w:p w14:paraId="4E04D82B" w14:textId="5C8076D2" w:rsidR="00A00D20" w:rsidRPr="003E2D4F" w:rsidRDefault="00A00D20" w:rsidP="00A00D20">
      <w:pPr>
        <w:pStyle w:val="EndnoteText"/>
        <w:rPr>
          <w:sz w:val="24"/>
          <w:szCs w:val="24"/>
        </w:rPr>
      </w:pPr>
      <w:r w:rsidRPr="003E2D4F">
        <w:rPr>
          <w:rStyle w:val="EndnoteReference"/>
          <w:sz w:val="24"/>
          <w:szCs w:val="24"/>
        </w:rPr>
        <w:endnoteRef/>
      </w:r>
      <w:r w:rsidRPr="003E2D4F">
        <w:rPr>
          <w:sz w:val="24"/>
          <w:szCs w:val="24"/>
        </w:rPr>
        <w:t xml:space="preserve"> Lotz-Winter H. On the pharmacology of bromelain: an update with special</w:t>
      </w:r>
      <w:r w:rsidR="00D93493" w:rsidRPr="003E2D4F">
        <w:rPr>
          <w:sz w:val="24"/>
          <w:szCs w:val="24"/>
        </w:rPr>
        <w:t xml:space="preserve"> </w:t>
      </w:r>
      <w:r w:rsidRPr="003E2D4F">
        <w:rPr>
          <w:sz w:val="24"/>
          <w:szCs w:val="24"/>
        </w:rPr>
        <w:t xml:space="preserve">regard to animal studies on dose-dependent effects. </w:t>
      </w:r>
      <w:r w:rsidRPr="003E2D4F">
        <w:rPr>
          <w:i/>
          <w:iCs/>
          <w:sz w:val="24"/>
          <w:szCs w:val="24"/>
        </w:rPr>
        <w:t>Planta Med</w:t>
      </w:r>
      <w:r w:rsidRPr="003E2D4F">
        <w:rPr>
          <w:sz w:val="24"/>
          <w:szCs w:val="24"/>
        </w:rPr>
        <w:t xml:space="preserve"> 1990;56:249e53.</w:t>
      </w:r>
    </w:p>
  </w:endnote>
  <w:endnote w:id="20">
    <w:p w14:paraId="414EFA3C" w14:textId="1C931FFB" w:rsidR="00111485" w:rsidRPr="003E2D4F" w:rsidRDefault="00111485">
      <w:pPr>
        <w:pStyle w:val="EndnoteText"/>
        <w:rPr>
          <w:sz w:val="24"/>
          <w:szCs w:val="24"/>
        </w:rPr>
      </w:pPr>
      <w:r w:rsidRPr="003E2D4F">
        <w:rPr>
          <w:rStyle w:val="EndnoteReference"/>
          <w:sz w:val="24"/>
          <w:szCs w:val="24"/>
        </w:rPr>
        <w:endnoteRef/>
      </w:r>
      <w:r w:rsidRPr="003E2D4F">
        <w:rPr>
          <w:sz w:val="24"/>
          <w:szCs w:val="24"/>
        </w:rPr>
        <w:t xml:space="preserve"> Kritis P, Karampela I, Kokoris S, Dalamaga M. The combination of bromelain and curcumin as an immune-boosting nutraceutical in the prevention of severe COVID-19. </w:t>
      </w:r>
      <w:r w:rsidRPr="003E2D4F">
        <w:rPr>
          <w:i/>
          <w:iCs/>
          <w:sz w:val="24"/>
          <w:szCs w:val="24"/>
        </w:rPr>
        <w:t>Metabol Open</w:t>
      </w:r>
      <w:r w:rsidRPr="003E2D4F">
        <w:rPr>
          <w:sz w:val="24"/>
          <w:szCs w:val="24"/>
        </w:rPr>
        <w:t xml:space="preserve"> 2020;8:100066.</w:t>
      </w:r>
    </w:p>
  </w:endnote>
  <w:endnote w:id="21">
    <w:p w14:paraId="3F979F9A" w14:textId="2E6D6EEA" w:rsidR="008F2C05" w:rsidRPr="00A602A0" w:rsidRDefault="008F2C05">
      <w:pPr>
        <w:pStyle w:val="EndnoteText"/>
        <w:rPr>
          <w:sz w:val="24"/>
          <w:szCs w:val="24"/>
        </w:rPr>
      </w:pPr>
      <w:r w:rsidRPr="003E2D4F">
        <w:rPr>
          <w:rStyle w:val="EndnoteReference"/>
          <w:sz w:val="24"/>
          <w:szCs w:val="24"/>
        </w:rPr>
        <w:endnoteRef/>
      </w:r>
      <w:r w:rsidRPr="003E2D4F">
        <w:rPr>
          <w:sz w:val="24"/>
          <w:szCs w:val="24"/>
        </w:rPr>
        <w:t xml:space="preserve"> Chakraborty AJ, Mitra S, Tallei TE, </w:t>
      </w:r>
      <w:r w:rsidR="00FD4A4E" w:rsidRPr="003E2D4F">
        <w:rPr>
          <w:sz w:val="24"/>
          <w:szCs w:val="24"/>
        </w:rPr>
        <w:t>et al.</w:t>
      </w:r>
      <w:r w:rsidR="003E2D4F" w:rsidRPr="003E2D4F">
        <w:rPr>
          <w:sz w:val="24"/>
          <w:szCs w:val="24"/>
        </w:rPr>
        <w:t xml:space="preserve"> </w:t>
      </w:r>
      <w:r w:rsidRPr="003E2D4F">
        <w:rPr>
          <w:sz w:val="24"/>
          <w:szCs w:val="24"/>
        </w:rPr>
        <w:t xml:space="preserve">Bromelain </w:t>
      </w:r>
      <w:r w:rsidR="00FD4A4E" w:rsidRPr="003E2D4F">
        <w:rPr>
          <w:sz w:val="24"/>
          <w:szCs w:val="24"/>
        </w:rPr>
        <w:t>a potential bioactive compound: a comprehensive overview from a pharmacological perspective</w:t>
      </w:r>
      <w:r w:rsidRPr="003E2D4F">
        <w:rPr>
          <w:sz w:val="24"/>
          <w:szCs w:val="24"/>
        </w:rPr>
        <w:t xml:space="preserve">. </w:t>
      </w:r>
      <w:r w:rsidRPr="00A602A0">
        <w:rPr>
          <w:i/>
          <w:iCs/>
          <w:sz w:val="24"/>
          <w:szCs w:val="24"/>
        </w:rPr>
        <w:t>Life</w:t>
      </w:r>
      <w:r w:rsidRPr="00A602A0">
        <w:rPr>
          <w:sz w:val="24"/>
          <w:szCs w:val="24"/>
        </w:rPr>
        <w:t xml:space="preserve"> (Basel) 2021;11:317.</w:t>
      </w:r>
    </w:p>
  </w:endnote>
  <w:endnote w:id="22">
    <w:p w14:paraId="24C2AF70" w14:textId="1DC6E377" w:rsidR="008D54F4" w:rsidRPr="00A602A0" w:rsidRDefault="008D54F4" w:rsidP="008D54F4">
      <w:pPr>
        <w:pStyle w:val="EndnoteText"/>
        <w:rPr>
          <w:sz w:val="24"/>
          <w:szCs w:val="24"/>
          <w:lang w:val="fr-CM"/>
        </w:rPr>
      </w:pPr>
      <w:r w:rsidRPr="003E2D4F">
        <w:rPr>
          <w:rStyle w:val="EndnoteReference"/>
          <w:sz w:val="24"/>
          <w:szCs w:val="24"/>
        </w:rPr>
        <w:endnoteRef/>
      </w:r>
      <w:r w:rsidRPr="00A602A0">
        <w:rPr>
          <w:sz w:val="24"/>
          <w:szCs w:val="24"/>
        </w:rPr>
        <w:t xml:space="preserve"> Praditya D, Kirchhoff L, Brüning J, </w:t>
      </w:r>
      <w:r w:rsidR="00FD4A4E" w:rsidRPr="00A602A0">
        <w:rPr>
          <w:sz w:val="24"/>
          <w:szCs w:val="24"/>
        </w:rPr>
        <w:t xml:space="preserve">et al. </w:t>
      </w:r>
      <w:r w:rsidRPr="003E2D4F">
        <w:rPr>
          <w:sz w:val="24"/>
          <w:szCs w:val="24"/>
        </w:rPr>
        <w:t xml:space="preserve">Anti-infective properties of the golden spice curcumin. </w:t>
      </w:r>
      <w:r w:rsidRPr="00A602A0">
        <w:rPr>
          <w:i/>
          <w:iCs/>
          <w:sz w:val="24"/>
          <w:szCs w:val="24"/>
          <w:lang w:val="fr-CM"/>
        </w:rPr>
        <w:t>Front Microbiol</w:t>
      </w:r>
      <w:r w:rsidR="00D54E91" w:rsidRPr="00A602A0">
        <w:rPr>
          <w:sz w:val="24"/>
          <w:szCs w:val="24"/>
          <w:lang w:val="fr-CM"/>
        </w:rPr>
        <w:t xml:space="preserve"> </w:t>
      </w:r>
      <w:r w:rsidRPr="00A602A0">
        <w:rPr>
          <w:sz w:val="24"/>
          <w:szCs w:val="24"/>
          <w:lang w:val="fr-CM"/>
        </w:rPr>
        <w:t>2019;10:912.</w:t>
      </w:r>
    </w:p>
  </w:endnote>
  <w:endnote w:id="23">
    <w:p w14:paraId="267272F8" w14:textId="250EBE5B" w:rsidR="00D54E91" w:rsidRPr="00A602A0" w:rsidRDefault="00D54E91" w:rsidP="00D54E91">
      <w:pPr>
        <w:pStyle w:val="EndnoteText"/>
        <w:rPr>
          <w:sz w:val="24"/>
          <w:szCs w:val="24"/>
          <w:lang w:val="fr-CM"/>
        </w:rPr>
      </w:pPr>
      <w:r w:rsidRPr="003E2D4F">
        <w:rPr>
          <w:rStyle w:val="EndnoteReference"/>
          <w:sz w:val="24"/>
          <w:szCs w:val="24"/>
        </w:rPr>
        <w:endnoteRef/>
      </w:r>
      <w:r w:rsidRPr="003E2D4F">
        <w:rPr>
          <w:sz w:val="24"/>
          <w:szCs w:val="24"/>
          <w:lang w:val="fr-CM"/>
        </w:rPr>
        <w:t xml:space="preserve"> Soni VK, Mehta A, Ratre YK, </w:t>
      </w:r>
      <w:r w:rsidR="00FD4A4E" w:rsidRPr="003E2D4F">
        <w:rPr>
          <w:sz w:val="24"/>
          <w:szCs w:val="24"/>
          <w:lang w:val="fr-CM"/>
        </w:rPr>
        <w:t xml:space="preserve">et al. </w:t>
      </w:r>
      <w:r w:rsidRPr="003E2D4F">
        <w:rPr>
          <w:sz w:val="24"/>
          <w:szCs w:val="24"/>
        </w:rPr>
        <w:t xml:space="preserve">Curcumin, a traditional spice component, can hold the promise against COVID-19? </w:t>
      </w:r>
      <w:r w:rsidRPr="00A602A0">
        <w:rPr>
          <w:i/>
          <w:iCs/>
          <w:sz w:val="24"/>
          <w:szCs w:val="24"/>
          <w:lang w:val="fr-CM"/>
        </w:rPr>
        <w:t>Eur J Pharmacol</w:t>
      </w:r>
      <w:r w:rsidR="00FD4A4E" w:rsidRPr="00A602A0">
        <w:rPr>
          <w:i/>
          <w:iCs/>
          <w:sz w:val="24"/>
          <w:szCs w:val="24"/>
          <w:lang w:val="fr-CM"/>
        </w:rPr>
        <w:t xml:space="preserve"> </w:t>
      </w:r>
      <w:r w:rsidRPr="00A602A0">
        <w:rPr>
          <w:sz w:val="24"/>
          <w:szCs w:val="24"/>
          <w:lang w:val="fr-CM"/>
        </w:rPr>
        <w:t>2020;886:173551.</w:t>
      </w:r>
    </w:p>
  </w:endnote>
  <w:endnote w:id="24">
    <w:p w14:paraId="0121F971" w14:textId="313F6F73" w:rsidR="00CC0D85" w:rsidRPr="003E2D4F" w:rsidRDefault="00CC0D85">
      <w:pPr>
        <w:pStyle w:val="EndnoteText"/>
        <w:rPr>
          <w:sz w:val="24"/>
          <w:szCs w:val="24"/>
        </w:rPr>
      </w:pPr>
      <w:r w:rsidRPr="003E2D4F">
        <w:rPr>
          <w:rStyle w:val="EndnoteReference"/>
          <w:sz w:val="24"/>
          <w:szCs w:val="24"/>
        </w:rPr>
        <w:endnoteRef/>
      </w:r>
      <w:r w:rsidRPr="003E2D4F">
        <w:rPr>
          <w:sz w:val="24"/>
          <w:szCs w:val="24"/>
          <w:lang w:val="fr-CM"/>
        </w:rPr>
        <w:t xml:space="preserve"> Sadeghizadeh M, Asadollahi E, Jahangiri B, </w:t>
      </w:r>
      <w:r w:rsidR="00FD4A4E" w:rsidRPr="003E2D4F">
        <w:rPr>
          <w:sz w:val="24"/>
          <w:szCs w:val="24"/>
          <w:lang w:val="fr-CM"/>
        </w:rPr>
        <w:t xml:space="preserve">et al. </w:t>
      </w:r>
      <w:r w:rsidRPr="003E2D4F">
        <w:rPr>
          <w:sz w:val="24"/>
          <w:szCs w:val="24"/>
        </w:rPr>
        <w:t xml:space="preserve">Promising clinical outcomes of nano-curcumin treatment as an adjunct therapy in hospitalized COVID-19 patients: </w:t>
      </w:r>
      <w:r w:rsidR="00FD4A4E" w:rsidRPr="003E2D4F">
        <w:rPr>
          <w:sz w:val="24"/>
          <w:szCs w:val="24"/>
        </w:rPr>
        <w:t>a</w:t>
      </w:r>
      <w:r w:rsidRPr="003E2D4F">
        <w:rPr>
          <w:sz w:val="24"/>
          <w:szCs w:val="24"/>
        </w:rPr>
        <w:t xml:space="preserve"> randomized, double-blinded, placebo-controlled trial. </w:t>
      </w:r>
      <w:r w:rsidRPr="003E2D4F">
        <w:rPr>
          <w:i/>
          <w:iCs/>
          <w:sz w:val="24"/>
          <w:szCs w:val="24"/>
        </w:rPr>
        <w:t>Phytother Res</w:t>
      </w:r>
      <w:r w:rsidRPr="003E2D4F">
        <w:rPr>
          <w:sz w:val="24"/>
          <w:szCs w:val="24"/>
        </w:rPr>
        <w:t xml:space="preserve"> 2023 Apr 29. doi: 10.1002/ptr.7844.</w:t>
      </w:r>
    </w:p>
  </w:endnote>
  <w:endnote w:id="25">
    <w:p w14:paraId="50C47637" w14:textId="6E193686" w:rsidR="004A159D" w:rsidRPr="003E2D4F" w:rsidRDefault="004A159D">
      <w:pPr>
        <w:pStyle w:val="EndnoteText"/>
        <w:rPr>
          <w:sz w:val="24"/>
          <w:szCs w:val="24"/>
          <w:lang w:val="de-DE"/>
        </w:rPr>
      </w:pPr>
      <w:r w:rsidRPr="003E2D4F">
        <w:rPr>
          <w:rStyle w:val="EndnoteReference"/>
          <w:sz w:val="24"/>
          <w:szCs w:val="24"/>
        </w:rPr>
        <w:endnoteRef/>
      </w:r>
      <w:r w:rsidRPr="003E2D4F">
        <w:rPr>
          <w:sz w:val="24"/>
          <w:szCs w:val="24"/>
        </w:rPr>
        <w:t xml:space="preserve"> Hassaniazad M, Eftekhar E, Inchehsablagh</w:t>
      </w:r>
      <w:r w:rsidR="006331B1">
        <w:rPr>
          <w:sz w:val="24"/>
          <w:szCs w:val="24"/>
        </w:rPr>
        <w:t xml:space="preserve"> </w:t>
      </w:r>
      <w:r w:rsidRPr="003E2D4F">
        <w:rPr>
          <w:sz w:val="24"/>
          <w:szCs w:val="24"/>
        </w:rPr>
        <w:t xml:space="preserve"> BR</w:t>
      </w:r>
      <w:r w:rsidR="00FD4A4E" w:rsidRPr="003E2D4F">
        <w:rPr>
          <w:sz w:val="24"/>
          <w:szCs w:val="24"/>
        </w:rPr>
        <w:t>, et al</w:t>
      </w:r>
      <w:r w:rsidRPr="003E2D4F">
        <w:rPr>
          <w:sz w:val="24"/>
          <w:szCs w:val="24"/>
        </w:rPr>
        <w:t xml:space="preserve">. A triple-blind, placebo-controlled, randomized clinical trial to evaluate the effect of curcumin-containing nanomicelles on cellular immune responses subtypes and clinical outcome in COVID-19 patients. </w:t>
      </w:r>
      <w:r w:rsidRPr="003E2D4F">
        <w:rPr>
          <w:i/>
          <w:iCs/>
          <w:sz w:val="24"/>
          <w:szCs w:val="24"/>
          <w:lang w:val="de-DE"/>
        </w:rPr>
        <w:t>Phytother Res</w:t>
      </w:r>
      <w:r w:rsidRPr="003E2D4F">
        <w:rPr>
          <w:sz w:val="24"/>
          <w:szCs w:val="24"/>
          <w:lang w:val="de-DE"/>
        </w:rPr>
        <w:t xml:space="preserve"> 2021;35:6417-6427.</w:t>
      </w:r>
    </w:p>
  </w:endnote>
  <w:endnote w:id="26">
    <w:p w14:paraId="3493A65A" w14:textId="7EAD8FFC" w:rsidR="001D446C" w:rsidRPr="003E2D4F" w:rsidRDefault="001D446C">
      <w:pPr>
        <w:pStyle w:val="EndnoteText"/>
        <w:rPr>
          <w:sz w:val="24"/>
          <w:szCs w:val="24"/>
        </w:rPr>
      </w:pPr>
      <w:r w:rsidRPr="003E2D4F">
        <w:rPr>
          <w:rStyle w:val="EndnoteReference"/>
          <w:sz w:val="24"/>
          <w:szCs w:val="24"/>
        </w:rPr>
        <w:endnoteRef/>
      </w:r>
      <w:r w:rsidRPr="003E2D4F">
        <w:rPr>
          <w:sz w:val="24"/>
          <w:szCs w:val="24"/>
          <w:lang w:val="de-DE"/>
        </w:rPr>
        <w:t xml:space="preserve"> Pancholi V, Smina TP, Kunnumakkara AB, Maliakel B, Krishnakumar IM. </w:t>
      </w:r>
      <w:r w:rsidRPr="003E2D4F">
        <w:rPr>
          <w:sz w:val="24"/>
          <w:szCs w:val="24"/>
        </w:rPr>
        <w:t>Safety assessment of a highly bioavailable curcumin-galactomannoside complex (CurQfen) in healthy volunteers, with a special reference to the recent hepatotoxic reports of curcumin supplements:</w:t>
      </w:r>
      <w:r w:rsidR="00FD4A4E" w:rsidRPr="003E2D4F">
        <w:rPr>
          <w:sz w:val="24"/>
          <w:szCs w:val="24"/>
        </w:rPr>
        <w:t xml:space="preserve"> a</w:t>
      </w:r>
      <w:r w:rsidRPr="003E2D4F">
        <w:rPr>
          <w:sz w:val="24"/>
          <w:szCs w:val="24"/>
        </w:rPr>
        <w:t xml:space="preserve"> 90-days prospective study. </w:t>
      </w:r>
      <w:r w:rsidRPr="003E2D4F">
        <w:rPr>
          <w:i/>
          <w:iCs/>
          <w:sz w:val="24"/>
          <w:szCs w:val="24"/>
        </w:rPr>
        <w:t>Toxicol Rep</w:t>
      </w:r>
      <w:r w:rsidRPr="003E2D4F">
        <w:rPr>
          <w:sz w:val="24"/>
          <w:szCs w:val="24"/>
        </w:rPr>
        <w:t xml:space="preserve"> 2021;8:1255-1264.</w:t>
      </w:r>
    </w:p>
  </w:endnote>
  <w:endnote w:id="27">
    <w:p w14:paraId="22D6B32D" w14:textId="0D526F15" w:rsidR="00325DF8" w:rsidRPr="003E2D4F" w:rsidRDefault="00325DF8">
      <w:pPr>
        <w:pStyle w:val="EndnoteText"/>
        <w:rPr>
          <w:sz w:val="24"/>
          <w:szCs w:val="24"/>
        </w:rPr>
      </w:pPr>
      <w:r w:rsidRPr="003E2D4F">
        <w:rPr>
          <w:rStyle w:val="EndnoteReference"/>
          <w:sz w:val="24"/>
          <w:szCs w:val="24"/>
        </w:rPr>
        <w:endnoteRef/>
      </w:r>
      <w:r w:rsidRPr="00A602A0">
        <w:rPr>
          <w:sz w:val="24"/>
          <w:szCs w:val="24"/>
        </w:rPr>
        <w:t xml:space="preserve"> </w:t>
      </w:r>
      <w:r w:rsidR="00FD4A4E" w:rsidRPr="00A602A0">
        <w:rPr>
          <w:sz w:val="24"/>
          <w:szCs w:val="24"/>
        </w:rPr>
        <w:t xml:space="preserve">Radiance Diagnostics. </w:t>
      </w:r>
      <w:r w:rsidR="00FD4A4E" w:rsidRPr="003E2D4F">
        <w:rPr>
          <w:sz w:val="24"/>
          <w:szCs w:val="24"/>
        </w:rPr>
        <w:t>COVID-19 Long Hauler Test by Flow Cytometry. Available at:</w:t>
      </w:r>
      <w:r w:rsidR="00742BAB">
        <w:rPr>
          <w:sz w:val="24"/>
          <w:szCs w:val="24"/>
        </w:rPr>
        <w:t xml:space="preserve"> </w:t>
      </w:r>
      <w:hyperlink r:id="rId1" w:history="1">
        <w:r w:rsidR="00FD4A4E" w:rsidRPr="003E2D4F">
          <w:rPr>
            <w:rStyle w:val="Hyperlink"/>
            <w:sz w:val="24"/>
            <w:szCs w:val="24"/>
          </w:rPr>
          <w:t>https://theradiancediagnostics.com/portfolio/covid-19-long-hauler-test/</w:t>
        </w:r>
      </w:hyperlink>
      <w:r w:rsidR="00FD4A4E" w:rsidRPr="003E2D4F">
        <w:rPr>
          <w:sz w:val="24"/>
          <w:szCs w:val="24"/>
        </w:rPr>
        <w:t>. Accessed Aug 30, 2023</w:t>
      </w:r>
      <w:r w:rsidR="003E2D4F" w:rsidRPr="003E2D4F">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9BF0" w14:textId="77777777" w:rsidR="008B612C" w:rsidRDefault="008B612C" w:rsidP="00583A87">
      <w:pPr>
        <w:spacing w:after="0" w:line="240" w:lineRule="auto"/>
      </w:pPr>
      <w:r>
        <w:separator/>
      </w:r>
    </w:p>
  </w:footnote>
  <w:footnote w:type="continuationSeparator" w:id="0">
    <w:p w14:paraId="414CE9ED" w14:textId="77777777" w:rsidR="008B612C" w:rsidRDefault="008B612C" w:rsidP="0058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7673"/>
    <w:multiLevelType w:val="hybridMultilevel"/>
    <w:tmpl w:val="0008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45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CE"/>
    <w:rsid w:val="0000502A"/>
    <w:rsid w:val="00017A39"/>
    <w:rsid w:val="0002535C"/>
    <w:rsid w:val="000541B6"/>
    <w:rsid w:val="0006755E"/>
    <w:rsid w:val="000C7B02"/>
    <w:rsid w:val="000E21D1"/>
    <w:rsid w:val="001047A1"/>
    <w:rsid w:val="00111485"/>
    <w:rsid w:val="001418D2"/>
    <w:rsid w:val="00161642"/>
    <w:rsid w:val="001670B0"/>
    <w:rsid w:val="0019052D"/>
    <w:rsid w:val="00192D62"/>
    <w:rsid w:val="0019376E"/>
    <w:rsid w:val="001A139A"/>
    <w:rsid w:val="001A61F1"/>
    <w:rsid w:val="001B336C"/>
    <w:rsid w:val="001C6E0C"/>
    <w:rsid w:val="001D446C"/>
    <w:rsid w:val="001E104F"/>
    <w:rsid w:val="001E3DB0"/>
    <w:rsid w:val="00237A78"/>
    <w:rsid w:val="00240412"/>
    <w:rsid w:val="00252447"/>
    <w:rsid w:val="00261B1A"/>
    <w:rsid w:val="00291B6F"/>
    <w:rsid w:val="00293D4D"/>
    <w:rsid w:val="002B6F68"/>
    <w:rsid w:val="002D681B"/>
    <w:rsid w:val="002F0E08"/>
    <w:rsid w:val="0030768E"/>
    <w:rsid w:val="003107BC"/>
    <w:rsid w:val="00325DF8"/>
    <w:rsid w:val="00330446"/>
    <w:rsid w:val="00362FD5"/>
    <w:rsid w:val="00365690"/>
    <w:rsid w:val="00366845"/>
    <w:rsid w:val="0037615E"/>
    <w:rsid w:val="00383395"/>
    <w:rsid w:val="0038670E"/>
    <w:rsid w:val="003915CD"/>
    <w:rsid w:val="003C58FD"/>
    <w:rsid w:val="003D226F"/>
    <w:rsid w:val="003D6493"/>
    <w:rsid w:val="003E0460"/>
    <w:rsid w:val="003E2D4F"/>
    <w:rsid w:val="003E6BA6"/>
    <w:rsid w:val="00405DE4"/>
    <w:rsid w:val="00414EEF"/>
    <w:rsid w:val="00415200"/>
    <w:rsid w:val="00432B59"/>
    <w:rsid w:val="00445BC9"/>
    <w:rsid w:val="00451969"/>
    <w:rsid w:val="00452962"/>
    <w:rsid w:val="004562A5"/>
    <w:rsid w:val="00466E16"/>
    <w:rsid w:val="004A159D"/>
    <w:rsid w:val="004A6BD8"/>
    <w:rsid w:val="004A6BF2"/>
    <w:rsid w:val="004B00D6"/>
    <w:rsid w:val="004C355A"/>
    <w:rsid w:val="004D6559"/>
    <w:rsid w:val="004F07B1"/>
    <w:rsid w:val="0051558F"/>
    <w:rsid w:val="005348FA"/>
    <w:rsid w:val="005369DE"/>
    <w:rsid w:val="00583A87"/>
    <w:rsid w:val="005A4811"/>
    <w:rsid w:val="005C177E"/>
    <w:rsid w:val="005D02C5"/>
    <w:rsid w:val="005D3BBC"/>
    <w:rsid w:val="005E0B30"/>
    <w:rsid w:val="005F6EB3"/>
    <w:rsid w:val="006331B1"/>
    <w:rsid w:val="006332E7"/>
    <w:rsid w:val="0065647F"/>
    <w:rsid w:val="00656E4B"/>
    <w:rsid w:val="00670FDB"/>
    <w:rsid w:val="00693FF0"/>
    <w:rsid w:val="006950AA"/>
    <w:rsid w:val="006A0EAE"/>
    <w:rsid w:val="006C6858"/>
    <w:rsid w:val="006D2E2F"/>
    <w:rsid w:val="006F4430"/>
    <w:rsid w:val="006F5EB0"/>
    <w:rsid w:val="006F6F40"/>
    <w:rsid w:val="0070391A"/>
    <w:rsid w:val="00711780"/>
    <w:rsid w:val="00714267"/>
    <w:rsid w:val="00734BC5"/>
    <w:rsid w:val="00742BAB"/>
    <w:rsid w:val="00773089"/>
    <w:rsid w:val="00797BAA"/>
    <w:rsid w:val="007A3A82"/>
    <w:rsid w:val="007B3356"/>
    <w:rsid w:val="007B535C"/>
    <w:rsid w:val="007D38BC"/>
    <w:rsid w:val="00802BC5"/>
    <w:rsid w:val="00810A38"/>
    <w:rsid w:val="00860838"/>
    <w:rsid w:val="00880CE2"/>
    <w:rsid w:val="008833FF"/>
    <w:rsid w:val="008917A6"/>
    <w:rsid w:val="008A6088"/>
    <w:rsid w:val="008B612C"/>
    <w:rsid w:val="008D3F3D"/>
    <w:rsid w:val="008D54F4"/>
    <w:rsid w:val="008F2C05"/>
    <w:rsid w:val="00926A32"/>
    <w:rsid w:val="009462B4"/>
    <w:rsid w:val="00971790"/>
    <w:rsid w:val="00976C8D"/>
    <w:rsid w:val="009773C0"/>
    <w:rsid w:val="009D18B9"/>
    <w:rsid w:val="009E62F4"/>
    <w:rsid w:val="009E76ED"/>
    <w:rsid w:val="00A00D20"/>
    <w:rsid w:val="00A34E67"/>
    <w:rsid w:val="00A366C7"/>
    <w:rsid w:val="00A37CCE"/>
    <w:rsid w:val="00A432D8"/>
    <w:rsid w:val="00A602A0"/>
    <w:rsid w:val="00A720DB"/>
    <w:rsid w:val="00AB503B"/>
    <w:rsid w:val="00AD162A"/>
    <w:rsid w:val="00AD633A"/>
    <w:rsid w:val="00AD6BB2"/>
    <w:rsid w:val="00B065F0"/>
    <w:rsid w:val="00B34001"/>
    <w:rsid w:val="00B647A9"/>
    <w:rsid w:val="00B746CD"/>
    <w:rsid w:val="00B77C4C"/>
    <w:rsid w:val="00BD151D"/>
    <w:rsid w:val="00BD5DDF"/>
    <w:rsid w:val="00BE085B"/>
    <w:rsid w:val="00BF31D0"/>
    <w:rsid w:val="00BF4286"/>
    <w:rsid w:val="00C0686C"/>
    <w:rsid w:val="00C1173F"/>
    <w:rsid w:val="00C12D26"/>
    <w:rsid w:val="00C4335A"/>
    <w:rsid w:val="00C462CA"/>
    <w:rsid w:val="00C54677"/>
    <w:rsid w:val="00C71892"/>
    <w:rsid w:val="00C71AEF"/>
    <w:rsid w:val="00C86AD6"/>
    <w:rsid w:val="00C94326"/>
    <w:rsid w:val="00C962B0"/>
    <w:rsid w:val="00CC0D85"/>
    <w:rsid w:val="00CE4D09"/>
    <w:rsid w:val="00CF6F15"/>
    <w:rsid w:val="00D01F17"/>
    <w:rsid w:val="00D1397C"/>
    <w:rsid w:val="00D15D8D"/>
    <w:rsid w:val="00D41B2B"/>
    <w:rsid w:val="00D41CBA"/>
    <w:rsid w:val="00D54E4D"/>
    <w:rsid w:val="00D54E91"/>
    <w:rsid w:val="00D741DA"/>
    <w:rsid w:val="00D93493"/>
    <w:rsid w:val="00D9419C"/>
    <w:rsid w:val="00DC3B54"/>
    <w:rsid w:val="00DD24CC"/>
    <w:rsid w:val="00DE2AC1"/>
    <w:rsid w:val="00DF56AB"/>
    <w:rsid w:val="00E001B7"/>
    <w:rsid w:val="00E21F25"/>
    <w:rsid w:val="00E51C5C"/>
    <w:rsid w:val="00E5536F"/>
    <w:rsid w:val="00EA679D"/>
    <w:rsid w:val="00EB48FF"/>
    <w:rsid w:val="00EB5420"/>
    <w:rsid w:val="00EC398C"/>
    <w:rsid w:val="00ED47D3"/>
    <w:rsid w:val="00EE19F8"/>
    <w:rsid w:val="00EE5F22"/>
    <w:rsid w:val="00EF6695"/>
    <w:rsid w:val="00F044DB"/>
    <w:rsid w:val="00F40321"/>
    <w:rsid w:val="00F96342"/>
    <w:rsid w:val="00FD4A4E"/>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6069"/>
  <w15:docId w15:val="{85F8A6BA-D836-45E1-9BE3-1F30CB97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83A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A87"/>
    <w:rPr>
      <w:sz w:val="20"/>
      <w:szCs w:val="20"/>
    </w:rPr>
  </w:style>
  <w:style w:type="character" w:styleId="EndnoteReference">
    <w:name w:val="endnote reference"/>
    <w:basedOn w:val="DefaultParagraphFont"/>
    <w:uiPriority w:val="99"/>
    <w:semiHidden/>
    <w:unhideWhenUsed/>
    <w:rsid w:val="00583A87"/>
    <w:rPr>
      <w:vertAlign w:val="superscript"/>
    </w:rPr>
  </w:style>
  <w:style w:type="paragraph" w:styleId="ListParagraph">
    <w:name w:val="List Paragraph"/>
    <w:basedOn w:val="Normal"/>
    <w:uiPriority w:val="34"/>
    <w:qFormat/>
    <w:rsid w:val="00CE4D09"/>
    <w:pPr>
      <w:ind w:left="720"/>
      <w:contextualSpacing/>
    </w:pPr>
  </w:style>
  <w:style w:type="character" w:styleId="Hyperlink">
    <w:name w:val="Hyperlink"/>
    <w:basedOn w:val="DefaultParagraphFont"/>
    <w:uiPriority w:val="99"/>
    <w:unhideWhenUsed/>
    <w:rsid w:val="00FD4A4E"/>
    <w:rPr>
      <w:color w:val="0563C1" w:themeColor="hyperlink"/>
      <w:u w:val="single"/>
    </w:rPr>
  </w:style>
  <w:style w:type="character" w:styleId="UnresolvedMention">
    <w:name w:val="Unresolved Mention"/>
    <w:basedOn w:val="DefaultParagraphFont"/>
    <w:uiPriority w:val="99"/>
    <w:semiHidden/>
    <w:unhideWhenUsed/>
    <w:rsid w:val="00FD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s://theradiancediagnostics.com/portfolio/covid-19-long-haule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917C-5B12-4F56-B193-B987B60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McCullough</dc:creator>
  <cp:lastModifiedBy>Sara</cp:lastModifiedBy>
  <cp:revision>2</cp:revision>
  <cp:lastPrinted>2023-07-30T21:56:00Z</cp:lastPrinted>
  <dcterms:created xsi:type="dcterms:W3CDTF">2023-08-31T18:01:00Z</dcterms:created>
  <dcterms:modified xsi:type="dcterms:W3CDTF">2023-08-31T18:01:00Z</dcterms:modified>
</cp:coreProperties>
</file>